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51" w:rsidRDefault="00D3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Projet – Enseigner la rupture en temps de crise au collège</w:t>
      </w:r>
    </w:p>
    <w:p w:rsidR="00DC6251" w:rsidRDefault="00DC6251">
      <w:pPr>
        <w:spacing w:after="160" w:line="240" w:lineRule="auto"/>
        <w:jc w:val="center"/>
        <w:rPr>
          <w:b/>
          <w:color w:val="000000"/>
          <w:u w:val="single"/>
        </w:rPr>
      </w:pPr>
    </w:p>
    <w:p w:rsidR="00DC6251" w:rsidRDefault="00D3212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u w:val="single"/>
        </w:rPr>
        <w:t>Fiche 1 – Analyse des vidéos des historien</w:t>
      </w:r>
      <w:r>
        <w:rPr>
          <w:b/>
          <w:u w:val="single"/>
        </w:rPr>
        <w:t>s et des historiennes</w:t>
      </w:r>
    </w:p>
    <w:p w:rsidR="00DC6251" w:rsidRDefault="00D3212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u w:val="single"/>
        </w:rPr>
        <w:t>Objectif</w:t>
      </w:r>
      <w:r>
        <w:rPr>
          <w:color w:val="000000"/>
        </w:rPr>
        <w:t> : Ces vidéos ont pour but de vous faire comprendre ce qu’est le témoignage en histoire, pourquoi il est important de faire témoigner les populations en temps de cri</w:t>
      </w:r>
      <w:r w:rsidR="00D879E3">
        <w:rPr>
          <w:color w:val="000000"/>
        </w:rPr>
        <w:t>se et comment les histories et les historiennes</w:t>
      </w:r>
      <w:bookmarkStart w:id="0" w:name="_GoBack"/>
      <w:bookmarkEnd w:id="0"/>
      <w:r>
        <w:rPr>
          <w:color w:val="000000"/>
        </w:rPr>
        <w:t xml:space="preserve"> font pour mener ces enquêtes, ces campagnes de témoignages</w:t>
      </w:r>
      <w:r>
        <w:rPr>
          <w:color w:val="000000"/>
        </w:rPr>
        <w:t>. </w:t>
      </w:r>
    </w:p>
    <w:p w:rsidR="00DC6251" w:rsidRDefault="00D3212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u w:val="single"/>
        </w:rPr>
        <w:t>VIDÉO 1</w:t>
      </w:r>
    </w:p>
    <w:p w:rsidR="00DC6251" w:rsidRDefault="00D3212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  <w:u w:val="single"/>
        </w:rPr>
        <w:t>1) Remplir la carte d’identité de l’historien</w:t>
      </w:r>
    </w:p>
    <w:tbl>
      <w:tblPr>
        <w:tblStyle w:val="a"/>
        <w:tblW w:w="104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66"/>
      </w:tblGrid>
      <w:tr w:rsidR="00DC6251">
        <w:tc>
          <w:tcPr>
            <w:tcW w:w="10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51" w:rsidRDefault="00D321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u w:val="single"/>
              </w:rPr>
              <w:t>Nom du chercheur en histoire :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Patrick Boucheron</w:t>
            </w:r>
          </w:p>
          <w:p w:rsidR="00DC6251" w:rsidRDefault="00D321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color w:val="000000"/>
                <w:u w:val="single"/>
              </w:rPr>
              <w:t>Période / spécialité en histoire :</w:t>
            </w:r>
            <w:r>
              <w:rPr>
                <w:i/>
                <w:color w:val="000000"/>
              </w:rPr>
              <w:t xml:space="preserve"> </w:t>
            </w:r>
          </w:p>
          <w:p w:rsidR="00DC6251" w:rsidRDefault="00D321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color w:val="000000"/>
                <w:u w:val="single"/>
              </w:rPr>
              <w:t>Lieu où travaille ce</w:t>
            </w:r>
            <w:r>
              <w:rPr>
                <w:i/>
                <w:u w:val="single"/>
              </w:rPr>
              <w:t xml:space="preserve"> </w:t>
            </w:r>
            <w:proofErr w:type="gramStart"/>
            <w:r>
              <w:rPr>
                <w:i/>
                <w:u w:val="single"/>
              </w:rPr>
              <w:t xml:space="preserve">chercheur </w:t>
            </w:r>
            <w:r>
              <w:rPr>
                <w:i/>
                <w:color w:val="000000"/>
                <w:u w:val="single"/>
              </w:rPr>
              <w:t xml:space="preserve"> </w:t>
            </w:r>
            <w:r>
              <w:rPr>
                <w:i/>
                <w:color w:val="FF0000"/>
              </w:rPr>
              <w:t>:</w:t>
            </w:r>
            <w:proofErr w:type="gramEnd"/>
            <w:r>
              <w:rPr>
                <w:i/>
                <w:color w:val="FF0000"/>
              </w:rPr>
              <w:t xml:space="preserve"> </w:t>
            </w:r>
          </w:p>
          <w:p w:rsidR="00DC6251" w:rsidRDefault="00D3212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u w:val="single"/>
              </w:rPr>
              <w:t xml:space="preserve">Fonction de ce </w:t>
            </w:r>
            <w:r>
              <w:rPr>
                <w:i/>
                <w:u w:val="single"/>
              </w:rPr>
              <w:t>lieu :</w:t>
            </w:r>
          </w:p>
        </w:tc>
      </w:tr>
    </w:tbl>
    <w:p w:rsidR="00DC6251" w:rsidRDefault="00DC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251" w:rsidRDefault="00D3212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  <w:u w:val="single"/>
        </w:rPr>
        <w:t>2) Qu’</w:t>
      </w:r>
      <w:proofErr w:type="spellStart"/>
      <w:r>
        <w:rPr>
          <w:i/>
          <w:color w:val="000000"/>
          <w:u w:val="single"/>
        </w:rPr>
        <w:t>est ce</w:t>
      </w:r>
      <w:proofErr w:type="spellEnd"/>
      <w:r>
        <w:rPr>
          <w:i/>
          <w:color w:val="000000"/>
          <w:u w:val="single"/>
        </w:rPr>
        <w:t xml:space="preserve"> qu’on fait quand on fait de l’histoire ave</w:t>
      </w:r>
      <w:r>
        <w:rPr>
          <w:i/>
          <w:color w:val="000000"/>
          <w:u w:val="single"/>
        </w:rPr>
        <w:t>c des témoignages ?</w:t>
      </w:r>
      <w:r>
        <w:rPr>
          <w:i/>
          <w:color w:val="FF0000"/>
          <w:u w:val="single"/>
        </w:rPr>
        <w:t xml:space="preserve"> </w:t>
      </w:r>
      <w:r>
        <w:rPr>
          <w:i/>
          <w:color w:val="000000"/>
          <w:u w:val="single"/>
        </w:rPr>
        <w:t>Relever les trois « étapes clés » selon P. Boucheron (il fau</w:t>
      </w:r>
      <w:r>
        <w:rPr>
          <w:i/>
          <w:u w:val="single"/>
        </w:rPr>
        <w:t>t trouver des verbes</w:t>
      </w:r>
      <w:proofErr w:type="gramStart"/>
      <w:r>
        <w:rPr>
          <w:i/>
          <w:u w:val="single"/>
        </w:rPr>
        <w:t>)</w:t>
      </w:r>
      <w:r>
        <w:rPr>
          <w:i/>
          <w:color w:val="000000"/>
          <w:u w:val="single"/>
        </w:rPr>
        <w:t>:</w:t>
      </w:r>
      <w:proofErr w:type="gramEnd"/>
      <w:r>
        <w:rPr>
          <w:i/>
          <w:color w:val="000000"/>
          <w:u w:val="single"/>
        </w:rPr>
        <w:t> </w:t>
      </w:r>
    </w:p>
    <w:p w:rsidR="00DC6251" w:rsidRDefault="00DC6251">
      <w:pPr>
        <w:spacing w:before="240" w:after="240" w:line="240" w:lineRule="auto"/>
        <w:rPr>
          <w:color w:val="FF0000"/>
        </w:rPr>
      </w:pPr>
    </w:p>
    <w:p w:rsidR="00DC6251" w:rsidRDefault="00D3212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  <w:u w:val="single"/>
        </w:rPr>
        <w:t>3) Relier les trois étapes avec leurs définitions dans le tableau.</w:t>
      </w:r>
    </w:p>
    <w:tbl>
      <w:tblPr>
        <w:tblStyle w:val="a0"/>
        <w:tblW w:w="106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18"/>
        <w:gridCol w:w="9148"/>
      </w:tblGrid>
      <w:tr w:rsidR="00DC6251">
        <w:trPr>
          <w:trHeight w:val="5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51" w:rsidRDefault="00D321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Etapes clés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51" w:rsidRDefault="00D321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Quelles actions et attitudes adopter  pendant cette étape ?</w:t>
            </w:r>
          </w:p>
        </w:tc>
      </w:tr>
      <w:tr w:rsidR="00DC6251">
        <w:trPr>
          <w:trHeight w:val="1078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51" w:rsidRDefault="00D321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51" w:rsidRDefault="00D3212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Être prudent, être patient, ne pas brusquer les gens : recueillir le témoignage, c’est le provoquer, le susciter. En tant que interrogateur vous êtes coproducteur du témoignage.</w:t>
            </w:r>
          </w:p>
        </w:tc>
      </w:tr>
      <w:tr w:rsidR="00DC6251">
        <w:trPr>
          <w:trHeight w:val="1192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51" w:rsidRDefault="00DC62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51" w:rsidRDefault="00D3212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Comparaison de plusieurs témoignages pour qu’on ait le plus de chance de pou</w:t>
            </w:r>
            <w:r>
              <w:rPr>
                <w:color w:val="000000"/>
              </w:rPr>
              <w:t>voir cerner le réel, comprendre ce qui s’est vraiment passé. L’idée est aussi d’écarter les éventuels « menteurs » pour garder les témoignages les plus fidèles possibles </w:t>
            </w:r>
          </w:p>
        </w:tc>
      </w:tr>
      <w:tr w:rsidR="00DC6251">
        <w:trPr>
          <w:trHeight w:val="777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51" w:rsidRDefault="00DC62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51" w:rsidRDefault="00D3212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Ramener une parole à son lieu, à la personne qui témoigne. Expliquer pourquoi tel témoin dit cela.</w:t>
            </w:r>
          </w:p>
        </w:tc>
      </w:tr>
    </w:tbl>
    <w:p w:rsidR="00DC6251" w:rsidRDefault="00DC6251">
      <w:pPr>
        <w:spacing w:before="240" w:after="24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C6251" w:rsidRDefault="00D3212F">
      <w:pPr>
        <w:spacing w:before="240" w:after="24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  <w:u w:val="single"/>
        </w:rPr>
        <w:t xml:space="preserve">4) Que </w:t>
      </w:r>
      <w:proofErr w:type="spellStart"/>
      <w:r>
        <w:rPr>
          <w:i/>
          <w:color w:val="000000"/>
          <w:u w:val="single"/>
        </w:rPr>
        <w:t>faut il</w:t>
      </w:r>
      <w:proofErr w:type="spellEnd"/>
      <w:r>
        <w:rPr>
          <w:i/>
          <w:color w:val="000000"/>
          <w:u w:val="single"/>
        </w:rPr>
        <w:t xml:space="preserve"> garder en tête lorsqu’on recherche des témoignages selon P. Boucheron ? </w:t>
      </w:r>
    </w:p>
    <w:p w:rsidR="00DC6251" w:rsidRDefault="00DC6251">
      <w:pPr>
        <w:spacing w:after="0" w:line="240" w:lineRule="auto"/>
        <w:rPr>
          <w:color w:val="FF0000"/>
        </w:rPr>
      </w:pPr>
    </w:p>
    <w:p w:rsidR="00DC6251" w:rsidRDefault="00DC6251">
      <w:pPr>
        <w:spacing w:after="0" w:line="240" w:lineRule="auto"/>
        <w:rPr>
          <w:color w:val="FF0000"/>
        </w:rPr>
      </w:pPr>
    </w:p>
    <w:p w:rsidR="00DC6251" w:rsidRDefault="00DC6251">
      <w:pPr>
        <w:spacing w:after="0" w:line="240" w:lineRule="auto"/>
        <w:rPr>
          <w:color w:val="FF0000"/>
        </w:rPr>
      </w:pPr>
    </w:p>
    <w:p w:rsidR="00DC6251" w:rsidRDefault="00DC6251">
      <w:pPr>
        <w:spacing w:after="0" w:line="240" w:lineRule="auto"/>
        <w:rPr>
          <w:color w:val="FF0000"/>
        </w:rPr>
      </w:pPr>
    </w:p>
    <w:p w:rsidR="00DC6251" w:rsidRDefault="00DC6251">
      <w:pPr>
        <w:spacing w:after="0" w:line="240" w:lineRule="auto"/>
        <w:rPr>
          <w:color w:val="FF0000"/>
        </w:rPr>
      </w:pPr>
    </w:p>
    <w:p w:rsidR="00DC6251" w:rsidRDefault="00DC6251">
      <w:pPr>
        <w:spacing w:after="0" w:line="240" w:lineRule="auto"/>
        <w:rPr>
          <w:color w:val="FF0000"/>
        </w:rPr>
      </w:pPr>
    </w:p>
    <w:p w:rsidR="00DC6251" w:rsidRDefault="00DC6251">
      <w:pPr>
        <w:keepLines/>
        <w:spacing w:after="0" w:line="240" w:lineRule="auto"/>
        <w:rPr>
          <w:color w:val="FF0000"/>
        </w:rPr>
      </w:pPr>
    </w:p>
    <w:p w:rsidR="00DC6251" w:rsidRDefault="00DC6251">
      <w:pPr>
        <w:spacing w:after="0" w:line="240" w:lineRule="auto"/>
        <w:rPr>
          <w:color w:val="FF0000"/>
        </w:rPr>
      </w:pPr>
    </w:p>
    <w:p w:rsidR="00DC6251" w:rsidRDefault="00D3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u w:val="single"/>
        </w:rPr>
        <w:t>VIDÉO 2 </w:t>
      </w:r>
    </w:p>
    <w:p w:rsidR="00DC6251" w:rsidRDefault="00D3212F">
      <w:pPr>
        <w:numPr>
          <w:ilvl w:val="0"/>
          <w:numId w:val="3"/>
        </w:numPr>
        <w:spacing w:before="240" w:after="240" w:line="240" w:lineRule="auto"/>
        <w:rPr>
          <w:i/>
          <w:color w:val="000000"/>
        </w:rPr>
      </w:pPr>
      <w:r>
        <w:rPr>
          <w:i/>
          <w:color w:val="000000"/>
          <w:u w:val="single"/>
        </w:rPr>
        <w:t>Remplir la carte d’identité de l’historien</w:t>
      </w:r>
    </w:p>
    <w:tbl>
      <w:tblPr>
        <w:tblStyle w:val="a1"/>
        <w:tblW w:w="104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66"/>
      </w:tblGrid>
      <w:tr w:rsidR="00DC6251">
        <w:tc>
          <w:tcPr>
            <w:tcW w:w="10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51" w:rsidRDefault="00D3212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u w:val="single"/>
              </w:rPr>
              <w:t>Nom du chercheur en histoire :</w:t>
            </w:r>
            <w:r>
              <w:rPr>
                <w:color w:val="000000"/>
              </w:rPr>
              <w:t xml:space="preserve"> Christian </w:t>
            </w:r>
            <w:proofErr w:type="spellStart"/>
            <w:r>
              <w:rPr>
                <w:color w:val="000000"/>
              </w:rPr>
              <w:t>Ingrao</w:t>
            </w:r>
            <w:proofErr w:type="spellEnd"/>
          </w:p>
          <w:p w:rsidR="00DC6251" w:rsidRDefault="00D3212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color w:val="000000"/>
                <w:u w:val="single"/>
              </w:rPr>
              <w:t>Période / spécialité en histoire :</w:t>
            </w:r>
            <w:r>
              <w:rPr>
                <w:i/>
                <w:color w:val="FF0000"/>
              </w:rPr>
              <w:t xml:space="preserve"> </w:t>
            </w:r>
          </w:p>
          <w:p w:rsidR="00DC6251" w:rsidRDefault="00D321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u w:val="single"/>
              </w:rPr>
              <w:t xml:space="preserve">Lieu où travaille ce chercheur </w:t>
            </w:r>
          </w:p>
          <w:p w:rsidR="00DC6251" w:rsidRDefault="00D3212F">
            <w:pPr>
              <w:spacing w:before="240" w:after="240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Fonction de ce lieu :</w:t>
            </w:r>
          </w:p>
          <w:p w:rsidR="00DC6251" w:rsidRDefault="00DC6251">
            <w:pPr>
              <w:spacing w:before="240" w:after="240"/>
              <w:jc w:val="both"/>
              <w:rPr>
                <w:color w:val="000000"/>
              </w:rPr>
            </w:pPr>
          </w:p>
        </w:tc>
      </w:tr>
    </w:tbl>
    <w:p w:rsidR="00DC6251" w:rsidRDefault="00DC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251" w:rsidRDefault="00D3212F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 xml:space="preserve">2. </w:t>
      </w:r>
      <w:r>
        <w:rPr>
          <w:i/>
          <w:color w:val="000000"/>
          <w:u w:val="single"/>
        </w:rPr>
        <w:t xml:space="preserve">Quels rôles ont joué Emmanuel </w:t>
      </w:r>
      <w:proofErr w:type="spellStart"/>
      <w:r>
        <w:rPr>
          <w:i/>
          <w:color w:val="000000"/>
          <w:u w:val="single"/>
        </w:rPr>
        <w:t>Ringelblum</w:t>
      </w:r>
      <w:proofErr w:type="spellEnd"/>
      <w:r>
        <w:rPr>
          <w:i/>
          <w:color w:val="000000"/>
          <w:u w:val="single"/>
        </w:rPr>
        <w:t xml:space="preserve"> et </w:t>
      </w:r>
      <w:proofErr w:type="spellStart"/>
      <w:r>
        <w:rPr>
          <w:i/>
          <w:color w:val="000000"/>
          <w:u w:val="single"/>
        </w:rPr>
        <w:t>Israel</w:t>
      </w:r>
      <w:proofErr w:type="spellEnd"/>
      <w:r>
        <w:rPr>
          <w:i/>
          <w:color w:val="000000"/>
          <w:u w:val="single"/>
        </w:rPr>
        <w:t xml:space="preserve"> Liechtenstein dans le ghetto de Varsovie ? </w:t>
      </w:r>
    </w:p>
    <w:p w:rsidR="00DC6251" w:rsidRDefault="00DC62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251" w:rsidRDefault="00D3212F">
      <w:pPr>
        <w:spacing w:after="0" w:line="240" w:lineRule="auto"/>
        <w:rPr>
          <w:i/>
          <w:color w:val="000000"/>
        </w:rPr>
      </w:pPr>
      <w:r>
        <w:rPr>
          <w:i/>
          <w:u w:val="single"/>
        </w:rPr>
        <w:t xml:space="preserve">3. </w:t>
      </w:r>
      <w:r>
        <w:rPr>
          <w:i/>
          <w:color w:val="000000"/>
          <w:u w:val="single"/>
        </w:rPr>
        <w:t>Que découvrent les ouvriers le 18 septembre 1946 à Varsovie ?</w:t>
      </w:r>
    </w:p>
    <w:p w:rsidR="00DC6251" w:rsidRDefault="00DC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251" w:rsidRDefault="00DC625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251" w:rsidRDefault="00D3212F">
      <w:pPr>
        <w:spacing w:before="240" w:after="240" w:line="240" w:lineRule="auto"/>
        <w:rPr>
          <w:i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i/>
          <w:color w:val="000000"/>
          <w:u w:val="single"/>
        </w:rPr>
        <w:t xml:space="preserve">D’après le dernier écrit d’E. </w:t>
      </w:r>
      <w:proofErr w:type="spellStart"/>
      <w:r>
        <w:rPr>
          <w:i/>
          <w:color w:val="000000"/>
          <w:u w:val="single"/>
        </w:rPr>
        <w:t>Ringelblum</w:t>
      </w:r>
      <w:proofErr w:type="spellEnd"/>
      <w:r>
        <w:rPr>
          <w:i/>
          <w:color w:val="000000"/>
          <w:u w:val="single"/>
        </w:rPr>
        <w:t xml:space="preserve">, quelle fonction est au </w:t>
      </w:r>
      <w:proofErr w:type="spellStart"/>
      <w:r>
        <w:rPr>
          <w:i/>
          <w:color w:val="000000"/>
          <w:u w:val="single"/>
        </w:rPr>
        <w:t>coeur</w:t>
      </w:r>
      <w:proofErr w:type="spellEnd"/>
      <w:r>
        <w:rPr>
          <w:i/>
          <w:color w:val="000000"/>
          <w:u w:val="single"/>
        </w:rPr>
        <w:t xml:space="preserve"> de la démarche de témoignage ?</w:t>
      </w:r>
    </w:p>
    <w:p w:rsidR="00DC6251" w:rsidRDefault="00DC6251">
      <w:pPr>
        <w:spacing w:before="240" w:after="240" w:line="240" w:lineRule="auto"/>
        <w:rPr>
          <w:i/>
          <w:color w:val="000000"/>
        </w:rPr>
      </w:pPr>
    </w:p>
    <w:p w:rsidR="00DC6251" w:rsidRDefault="00D3212F">
      <w:pPr>
        <w:spacing w:before="240" w:after="240" w:line="240" w:lineRule="auto"/>
        <w:rPr>
          <w:i/>
          <w:color w:val="000000"/>
        </w:rPr>
      </w:pPr>
      <w:r>
        <w:rPr>
          <w:i/>
          <w:u w:val="single"/>
        </w:rPr>
        <w:t xml:space="preserve">5. </w:t>
      </w:r>
      <w:r>
        <w:rPr>
          <w:i/>
          <w:color w:val="000000"/>
          <w:u w:val="single"/>
        </w:rPr>
        <w:t>A quel groupe social Raphael Samuel s'intéresse-t-il dans les années 1960 ? Entoure</w:t>
      </w:r>
      <w:r>
        <w:rPr>
          <w:i/>
          <w:color w:val="000000"/>
          <w:u w:val="single"/>
        </w:rPr>
        <w:t xml:space="preserve"> la réponse qui te semble pertinente</w:t>
      </w:r>
    </w:p>
    <w:p w:rsidR="00DC6251" w:rsidRDefault="00D3212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                 Les bourgeois                                       Les jeunes                                         Les ouvriers       </w:t>
      </w:r>
    </w:p>
    <w:p w:rsidR="00DC6251" w:rsidRDefault="00D3212F">
      <w:pPr>
        <w:spacing w:before="240" w:after="240" w:line="240" w:lineRule="auto"/>
        <w:rPr>
          <w:i/>
          <w:color w:val="000000"/>
        </w:rPr>
      </w:pPr>
      <w:r>
        <w:rPr>
          <w:i/>
          <w:u w:val="single"/>
        </w:rPr>
        <w:t xml:space="preserve">6. </w:t>
      </w:r>
      <w:r>
        <w:rPr>
          <w:i/>
          <w:color w:val="000000"/>
          <w:u w:val="single"/>
        </w:rPr>
        <w:t>La démarche de Raphaël Samuel s’appelle “faire de l’histoire par le bas”. C</w:t>
      </w:r>
      <w:r>
        <w:rPr>
          <w:i/>
          <w:color w:val="000000"/>
          <w:u w:val="single"/>
        </w:rPr>
        <w:t>oche la définition de ce que pourrait être “l’histoire par le bas”</w:t>
      </w:r>
    </w:p>
    <w:p w:rsidR="00DC6251" w:rsidRDefault="00D3212F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color w:val="222222"/>
          <w:sz w:val="21"/>
          <w:szCs w:val="21"/>
          <w:highlight w:val="white"/>
        </w:rPr>
        <w:t xml:space="preserve">[]   </w:t>
      </w:r>
      <w:proofErr w:type="gramEnd"/>
      <w:r>
        <w:rPr>
          <w:color w:val="222222"/>
          <w:sz w:val="21"/>
          <w:szCs w:val="21"/>
          <w:highlight w:val="white"/>
        </w:rPr>
        <w:t>L’histoire “par le bas” consiste à s’intéresser aux événements historiques du point de vue des gens ordinaires plutôt que de celui des élites intellectuels, économiques, culturelles, p</w:t>
      </w:r>
      <w:r>
        <w:rPr>
          <w:color w:val="222222"/>
          <w:sz w:val="21"/>
          <w:szCs w:val="21"/>
          <w:highlight w:val="white"/>
        </w:rPr>
        <w:t>olitiques.  </w:t>
      </w:r>
    </w:p>
    <w:p w:rsidR="00DC6251" w:rsidRDefault="00D3212F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22222"/>
          <w:sz w:val="21"/>
          <w:szCs w:val="21"/>
          <w:highlight w:val="white"/>
        </w:rPr>
        <w:t>[] L’histoire “par le bas” consiste à s’intéresser aux grands personnages et aux grands évènements. </w:t>
      </w:r>
    </w:p>
    <w:p w:rsidR="00DC6251" w:rsidRDefault="00DC6251">
      <w:pPr>
        <w:spacing w:before="240" w:after="240"/>
        <w:rPr>
          <w:i/>
          <w:color w:val="222222"/>
          <w:sz w:val="21"/>
          <w:szCs w:val="21"/>
          <w:highlight w:val="white"/>
          <w:u w:val="single"/>
        </w:rPr>
      </w:pPr>
    </w:p>
    <w:p w:rsidR="00DC6251" w:rsidRDefault="00DC6251">
      <w:pPr>
        <w:spacing w:before="240" w:after="240"/>
        <w:rPr>
          <w:i/>
          <w:color w:val="222222"/>
          <w:sz w:val="21"/>
          <w:szCs w:val="21"/>
          <w:highlight w:val="white"/>
          <w:u w:val="single"/>
        </w:rPr>
      </w:pPr>
    </w:p>
    <w:p w:rsidR="00DC6251" w:rsidRDefault="00D3212F">
      <w:pPr>
        <w:spacing w:before="240" w:after="240"/>
        <w:rPr>
          <w:u w:val="single"/>
        </w:rPr>
      </w:pPr>
      <w:r>
        <w:rPr>
          <w:u w:val="single"/>
        </w:rPr>
        <w:t>VIDEO 3</w:t>
      </w:r>
    </w:p>
    <w:p w:rsidR="00DC6251" w:rsidRDefault="00D3212F">
      <w:pPr>
        <w:numPr>
          <w:ilvl w:val="0"/>
          <w:numId w:val="1"/>
        </w:numPr>
        <w:spacing w:before="240" w:after="240"/>
        <w:rPr>
          <w:i/>
        </w:rPr>
      </w:pPr>
      <w:r>
        <w:rPr>
          <w:i/>
          <w:u w:val="single"/>
        </w:rPr>
        <w:t>Remplir la carte d’identité de l’historien</w:t>
      </w:r>
    </w:p>
    <w:tbl>
      <w:tblPr>
        <w:tblStyle w:val="a2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DC6251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51" w:rsidRDefault="00D3212F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i/>
                <w:u w:val="single"/>
              </w:rPr>
              <w:t xml:space="preserve">Nom du chercheur en histoire : </w:t>
            </w:r>
            <w:r>
              <w:t xml:space="preserve">Denis </w:t>
            </w:r>
            <w:proofErr w:type="spellStart"/>
            <w:r>
              <w:t>Peschanski</w:t>
            </w:r>
            <w:proofErr w:type="spellEnd"/>
          </w:p>
          <w:p w:rsidR="00DC6251" w:rsidRDefault="00DC6251">
            <w:pPr>
              <w:widowControl w:val="0"/>
              <w:spacing w:after="0" w:line="240" w:lineRule="auto"/>
              <w:rPr>
                <w:i/>
                <w:u w:val="single"/>
              </w:rPr>
            </w:pPr>
          </w:p>
          <w:p w:rsidR="00DC6251" w:rsidRDefault="00D3212F">
            <w:pPr>
              <w:widowControl w:val="0"/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u w:val="single"/>
              </w:rPr>
              <w:lastRenderedPageBreak/>
              <w:t xml:space="preserve">Période/spécialité de recherches : </w:t>
            </w:r>
          </w:p>
          <w:p w:rsidR="00DC6251" w:rsidRDefault="00DC6251">
            <w:pPr>
              <w:widowControl w:val="0"/>
              <w:spacing w:after="0" w:line="240" w:lineRule="auto"/>
              <w:rPr>
                <w:i/>
                <w:color w:val="FF0000"/>
              </w:rPr>
            </w:pPr>
          </w:p>
          <w:p w:rsidR="00DC6251" w:rsidRDefault="00D3212F">
            <w:pPr>
              <w:widowControl w:val="0"/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u w:val="single"/>
              </w:rPr>
              <w:t xml:space="preserve">Lieu où travaille le chercheur : </w:t>
            </w:r>
          </w:p>
        </w:tc>
      </w:tr>
    </w:tbl>
    <w:p w:rsidR="00DC6251" w:rsidRDefault="00DC6251">
      <w:pPr>
        <w:spacing w:before="240" w:after="240"/>
      </w:pPr>
    </w:p>
    <w:p w:rsidR="00DC6251" w:rsidRDefault="00D3212F">
      <w:pPr>
        <w:numPr>
          <w:ilvl w:val="0"/>
          <w:numId w:val="1"/>
        </w:numPr>
        <w:spacing w:before="240" w:after="240"/>
        <w:rPr>
          <w:i/>
        </w:rPr>
      </w:pPr>
      <w:r>
        <w:rPr>
          <w:i/>
          <w:u w:val="single"/>
        </w:rPr>
        <w:t xml:space="preserve">Quel est l’objectif du Programme 13/11 que co-préside Denis </w:t>
      </w:r>
      <w:proofErr w:type="spellStart"/>
      <w:r>
        <w:rPr>
          <w:i/>
          <w:u w:val="single"/>
        </w:rPr>
        <w:t>Peschanski</w:t>
      </w:r>
      <w:proofErr w:type="spellEnd"/>
      <w:r>
        <w:rPr>
          <w:i/>
          <w:u w:val="single"/>
        </w:rPr>
        <w:t xml:space="preserve"> ?</w:t>
      </w:r>
    </w:p>
    <w:p w:rsidR="00DC6251" w:rsidRDefault="00D3212F">
      <w:pPr>
        <w:spacing w:before="240" w:after="240"/>
        <w:rPr>
          <w:color w:val="FF0000"/>
        </w:rPr>
      </w:pPr>
      <w:r>
        <w:rPr>
          <w:color w:val="FF0000"/>
        </w:rPr>
        <w:t xml:space="preserve">. </w:t>
      </w:r>
    </w:p>
    <w:p w:rsidR="00DC6251" w:rsidRDefault="00D3212F">
      <w:pPr>
        <w:numPr>
          <w:ilvl w:val="0"/>
          <w:numId w:val="1"/>
        </w:numPr>
        <w:spacing w:before="240" w:after="0"/>
        <w:rPr>
          <w:i/>
        </w:rPr>
      </w:pPr>
      <w:r>
        <w:rPr>
          <w:i/>
          <w:u w:val="single"/>
        </w:rPr>
        <w:t xml:space="preserve">Est-ce que Denis </w:t>
      </w:r>
      <w:proofErr w:type="spellStart"/>
      <w:r>
        <w:rPr>
          <w:i/>
          <w:u w:val="single"/>
        </w:rPr>
        <w:t>Peschanski</w:t>
      </w:r>
      <w:proofErr w:type="spellEnd"/>
      <w:r>
        <w:rPr>
          <w:i/>
          <w:u w:val="single"/>
        </w:rPr>
        <w:t xml:space="preserve"> considère le témoignage comme une source comme les autres ? Entourez la réponse qui vous semble la plus juste : </w:t>
      </w:r>
    </w:p>
    <w:p w:rsidR="00DC6251" w:rsidRDefault="00D3212F">
      <w:pPr>
        <w:numPr>
          <w:ilvl w:val="0"/>
          <w:numId w:val="2"/>
        </w:numPr>
        <w:spacing w:after="0"/>
        <w:jc w:val="both"/>
      </w:pPr>
      <w:r>
        <w:t>Oui, le témoignage est une source comme une et n’est pas très différent des documents administratifs ou des textes de loi (source écrite)</w:t>
      </w:r>
    </w:p>
    <w:p w:rsidR="00DC6251" w:rsidRDefault="00D3212F">
      <w:pPr>
        <w:numPr>
          <w:ilvl w:val="0"/>
          <w:numId w:val="2"/>
        </w:numPr>
        <w:spacing w:after="0"/>
        <w:jc w:val="both"/>
      </w:pPr>
      <w:r>
        <w:t>Non, le témoignage est une source singulière parce qu’il évolue au fil du temps en fonction de ce que le témoin a vécu</w:t>
      </w:r>
      <w:r>
        <w:t xml:space="preserve"> et a entendu : il permet de s’intéresser à la vérité du témoin, c’est à dire à la façon dont le témoin a vécu et raconte un événement. </w:t>
      </w:r>
    </w:p>
    <w:p w:rsidR="00DC6251" w:rsidRDefault="00D3212F">
      <w:pPr>
        <w:numPr>
          <w:ilvl w:val="0"/>
          <w:numId w:val="2"/>
        </w:numPr>
        <w:spacing w:after="240"/>
        <w:jc w:val="both"/>
      </w:pPr>
      <w:r>
        <w:t xml:space="preserve">Non, le témoignage ne doit pas être utilisé en histoire car il est peu fiable et ne dit pas la vérité historique. </w:t>
      </w:r>
    </w:p>
    <w:p w:rsidR="00DC6251" w:rsidRDefault="00DC6251">
      <w:pPr>
        <w:spacing w:before="240" w:after="240"/>
        <w:ind w:left="1440"/>
      </w:pPr>
    </w:p>
    <w:p w:rsidR="00DC6251" w:rsidRDefault="00D3212F">
      <w:pPr>
        <w:numPr>
          <w:ilvl w:val="0"/>
          <w:numId w:val="1"/>
        </w:numPr>
        <w:spacing w:after="160" w:line="259" w:lineRule="auto"/>
        <w:rPr>
          <w:i/>
        </w:rPr>
      </w:pPr>
      <w:r>
        <w:rPr>
          <w:i/>
          <w:u w:val="single"/>
        </w:rPr>
        <w:t xml:space="preserve">D. </w:t>
      </w:r>
      <w:proofErr w:type="spellStart"/>
      <w:r>
        <w:rPr>
          <w:i/>
          <w:u w:val="single"/>
        </w:rPr>
        <w:t>Peschanski</w:t>
      </w:r>
      <w:proofErr w:type="spellEnd"/>
      <w:r>
        <w:rPr>
          <w:i/>
          <w:u w:val="single"/>
        </w:rPr>
        <w:t xml:space="preserve"> explique que l’on peut mener l’entretien de deux </w:t>
      </w:r>
      <w:proofErr w:type="gramStart"/>
      <w:r>
        <w:rPr>
          <w:i/>
          <w:u w:val="single"/>
        </w:rPr>
        <w:t>façon .</w:t>
      </w:r>
      <w:proofErr w:type="gramEnd"/>
      <w:r>
        <w:rPr>
          <w:i/>
          <w:u w:val="single"/>
        </w:rPr>
        <w:t xml:space="preserve"> Remplissez le tableau avec les caractéristiques de </w:t>
      </w:r>
      <w:proofErr w:type="gramStart"/>
      <w:r>
        <w:rPr>
          <w:i/>
          <w:u w:val="single"/>
        </w:rPr>
        <w:t>chacune  ?</w:t>
      </w:r>
      <w:proofErr w:type="gramEnd"/>
    </w:p>
    <w:tbl>
      <w:tblPr>
        <w:tblStyle w:val="a3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DC6251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51" w:rsidRDefault="00D3212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L’entretien non directif ou semi directif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51" w:rsidRDefault="00D3212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L’entretien directif</w:t>
            </w:r>
          </w:p>
        </w:tc>
      </w:tr>
      <w:tr w:rsidR="00DC6251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51" w:rsidRDefault="00DC6251">
            <w:pPr>
              <w:spacing w:after="160" w:line="259" w:lineRule="auto"/>
              <w:rPr>
                <w:color w:val="FF0000"/>
              </w:rPr>
            </w:pPr>
          </w:p>
          <w:p w:rsidR="00DC6251" w:rsidRDefault="00DC6251">
            <w:pPr>
              <w:spacing w:after="160" w:line="259" w:lineRule="auto"/>
              <w:rPr>
                <w:color w:val="FF0000"/>
              </w:rPr>
            </w:pPr>
          </w:p>
          <w:p w:rsidR="00DC6251" w:rsidRDefault="00DC6251">
            <w:pPr>
              <w:spacing w:after="160" w:line="259" w:lineRule="auto"/>
              <w:rPr>
                <w:color w:val="FF0000"/>
              </w:rPr>
            </w:pPr>
          </w:p>
          <w:p w:rsidR="00DC6251" w:rsidRDefault="00DC6251">
            <w:pPr>
              <w:spacing w:after="160" w:line="259" w:lineRule="auto"/>
              <w:rPr>
                <w:color w:val="FF0000"/>
              </w:rPr>
            </w:pPr>
          </w:p>
          <w:p w:rsidR="00DC6251" w:rsidRDefault="00DC6251">
            <w:pPr>
              <w:spacing w:after="160" w:line="259" w:lineRule="auto"/>
              <w:rPr>
                <w:color w:val="FF0000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51" w:rsidRDefault="00DC6251">
            <w:pPr>
              <w:spacing w:after="160" w:line="259" w:lineRule="auto"/>
              <w:rPr>
                <w:color w:val="FF0000"/>
              </w:rPr>
            </w:pPr>
          </w:p>
        </w:tc>
      </w:tr>
    </w:tbl>
    <w:p w:rsidR="00DC6251" w:rsidRDefault="00DC6251">
      <w:pPr>
        <w:spacing w:after="160" w:line="259" w:lineRule="auto"/>
        <w:rPr>
          <w:i/>
          <w:u w:val="single"/>
        </w:rPr>
      </w:pPr>
    </w:p>
    <w:p w:rsidR="00DC6251" w:rsidRDefault="00D3212F">
      <w:pPr>
        <w:numPr>
          <w:ilvl w:val="0"/>
          <w:numId w:val="1"/>
        </w:numPr>
        <w:spacing w:after="160" w:line="259" w:lineRule="auto"/>
        <w:rPr>
          <w:i/>
        </w:rPr>
      </w:pPr>
      <w:r>
        <w:rPr>
          <w:i/>
          <w:u w:val="single"/>
        </w:rPr>
        <w:t>Quelles sont les qualités nécessaires d’un bon enquêteur qui arrive à bien faire témoigner les gens ?</w:t>
      </w:r>
    </w:p>
    <w:p w:rsidR="00DC6251" w:rsidRDefault="00DC6251">
      <w:pPr>
        <w:spacing w:after="160" w:line="259" w:lineRule="auto"/>
        <w:rPr>
          <w:color w:val="FF0000"/>
        </w:rPr>
      </w:pPr>
    </w:p>
    <w:p w:rsidR="00DC6251" w:rsidRDefault="00DC6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251" w:rsidRDefault="00DC6251"/>
    <w:sectPr w:rsidR="00DC6251">
      <w:foot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2F" w:rsidRDefault="00D3212F">
      <w:pPr>
        <w:spacing w:after="0" w:line="240" w:lineRule="auto"/>
      </w:pPr>
      <w:r>
        <w:separator/>
      </w:r>
    </w:p>
  </w:endnote>
  <w:endnote w:type="continuationSeparator" w:id="0">
    <w:p w:rsidR="00D3212F" w:rsidRDefault="00D3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51" w:rsidRDefault="00D3212F">
    <w:pPr>
      <w:spacing w:after="160" w:line="259" w:lineRule="auto"/>
      <w:jc w:val="center"/>
    </w:pPr>
    <w:r>
      <w:rPr>
        <w:sz w:val="20"/>
        <w:szCs w:val="20"/>
      </w:rPr>
      <w:t>Sophie Gillet et Lola Jarry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2F" w:rsidRDefault="00D3212F">
      <w:pPr>
        <w:spacing w:after="0" w:line="240" w:lineRule="auto"/>
      </w:pPr>
      <w:r>
        <w:separator/>
      </w:r>
    </w:p>
  </w:footnote>
  <w:footnote w:type="continuationSeparator" w:id="0">
    <w:p w:rsidR="00D3212F" w:rsidRDefault="00D3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48F"/>
    <w:multiLevelType w:val="multilevel"/>
    <w:tmpl w:val="DC1A52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BD93A82"/>
    <w:multiLevelType w:val="multilevel"/>
    <w:tmpl w:val="A61CF5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0B59AC"/>
    <w:multiLevelType w:val="multilevel"/>
    <w:tmpl w:val="B5529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51"/>
    <w:rsid w:val="00876761"/>
    <w:rsid w:val="00D3212F"/>
    <w:rsid w:val="00D879E3"/>
    <w:rsid w:val="00D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45C8"/>
  <w15:docId w15:val="{D2B5D1C1-9CF0-4E79-9CBE-FFFB880E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99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9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HHHEnRU+gNovtXFO2Lb6mQo76A==">AMUW2mWTepNK6QWd88qIkU3bSuHNfL8hLvU+kxvtcvizbEiRrSy8yIRrfGGsehBhQjfGD894V+evDwYrxUD8YIgplTd1/VvMYfI1iaFSfBBYyJktE8g6Z9A=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inspecteur</cp:lastModifiedBy>
  <cp:revision>3</cp:revision>
  <dcterms:created xsi:type="dcterms:W3CDTF">2020-04-27T10:14:00Z</dcterms:created>
  <dcterms:modified xsi:type="dcterms:W3CDTF">2020-04-27T10:15:00Z</dcterms:modified>
</cp:coreProperties>
</file>