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49E" w:rsidRDefault="0025449E">
      <w:pPr>
        <w:jc w:val="center"/>
        <w:rPr>
          <w:b/>
          <w:u w:val="single"/>
        </w:rPr>
      </w:pPr>
    </w:p>
    <w:p w:rsidR="0025449E" w:rsidRDefault="00070636">
      <w:pPr>
        <w:jc w:val="center"/>
        <w:rPr>
          <w:b/>
          <w:u w:val="single"/>
        </w:rPr>
      </w:pPr>
      <w:r>
        <w:rPr>
          <w:b/>
          <w:u w:val="single"/>
        </w:rPr>
        <w:t>Fiche 1 – Analyse des vidéos des historiens et des historiennes - Corrigé</w:t>
      </w:r>
    </w:p>
    <w:p w:rsidR="0025449E" w:rsidRDefault="00070636">
      <w:pPr>
        <w:jc w:val="both"/>
      </w:pPr>
      <w:r>
        <w:rPr>
          <w:b/>
          <w:u w:val="single"/>
        </w:rPr>
        <w:t>Objectif</w:t>
      </w:r>
      <w:r>
        <w:t> : Ces vidéos ont pour but de vous faire comprendre ce qu’est le témoignage en histoire, pourquoi il est important de faire témoigner les populations en temps de crise et comment les historien</w:t>
      </w:r>
      <w:r w:rsidR="00864FF2">
        <w:t>s et les historiennes</w:t>
      </w:r>
      <w:bookmarkStart w:id="0" w:name="_GoBack"/>
      <w:bookmarkEnd w:id="0"/>
      <w:r>
        <w:t xml:space="preserve"> font pour mener ces enquêtes, ces campagnes de témoignages. </w:t>
      </w:r>
    </w:p>
    <w:p w:rsidR="0025449E" w:rsidRDefault="00070636">
      <w:pPr>
        <w:spacing w:before="240" w:after="240" w:line="276" w:lineRule="auto"/>
        <w:rPr>
          <w:b/>
          <w:u w:val="single"/>
        </w:rPr>
      </w:pPr>
      <w:r>
        <w:rPr>
          <w:b/>
          <w:u w:val="single"/>
        </w:rPr>
        <w:t>VIDÉO 1</w:t>
      </w:r>
    </w:p>
    <w:p w:rsidR="0025449E" w:rsidRDefault="00070636">
      <w:pPr>
        <w:spacing w:before="240" w:after="240" w:line="276" w:lineRule="auto"/>
        <w:rPr>
          <w:i/>
          <w:u w:val="single"/>
        </w:rPr>
      </w:pPr>
      <w:r>
        <w:rPr>
          <w:i/>
          <w:u w:val="single"/>
        </w:rPr>
        <w:t>1) Remplir la carte d’identité de l’historien</w:t>
      </w:r>
    </w:p>
    <w:tbl>
      <w:tblPr>
        <w:tblStyle w:val="a"/>
        <w:tblW w:w="10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25449E">
        <w:tc>
          <w:tcPr>
            <w:tcW w:w="10466" w:type="dxa"/>
            <w:shd w:val="clear" w:color="auto" w:fill="auto"/>
            <w:tcMar>
              <w:top w:w="100" w:type="dxa"/>
              <w:left w:w="100" w:type="dxa"/>
              <w:bottom w:w="100" w:type="dxa"/>
              <w:right w:w="100" w:type="dxa"/>
            </w:tcMar>
          </w:tcPr>
          <w:p w:rsidR="0025449E" w:rsidRDefault="00070636">
            <w:pPr>
              <w:spacing w:before="240" w:after="240" w:line="276" w:lineRule="auto"/>
              <w:rPr>
                <w:color w:val="FF0000"/>
              </w:rPr>
            </w:pPr>
            <w:r>
              <w:rPr>
                <w:b/>
                <w:u w:val="single"/>
              </w:rPr>
              <w:t>Nom du chercheur en histoire :</w:t>
            </w:r>
            <w:r>
              <w:t xml:space="preserve"> </w:t>
            </w:r>
            <w:r>
              <w:rPr>
                <w:color w:val="FF0000"/>
              </w:rPr>
              <w:t>Patrick Boucheron</w:t>
            </w:r>
          </w:p>
          <w:p w:rsidR="0025449E" w:rsidRDefault="00070636">
            <w:pPr>
              <w:spacing w:before="240" w:after="240" w:line="276" w:lineRule="auto"/>
              <w:rPr>
                <w:color w:val="FF0000"/>
              </w:rPr>
            </w:pPr>
            <w:r>
              <w:rPr>
                <w:b/>
                <w:u w:val="single"/>
              </w:rPr>
              <w:t>Période / spécialité en histoire :</w:t>
            </w:r>
            <w:r>
              <w:t xml:space="preserve"> </w:t>
            </w:r>
            <w:r>
              <w:rPr>
                <w:color w:val="FF0000"/>
              </w:rPr>
              <w:t>Historien du moyen Age.</w:t>
            </w:r>
          </w:p>
          <w:p w:rsidR="0025449E" w:rsidRDefault="00070636">
            <w:pPr>
              <w:spacing w:before="240" w:after="240" w:line="276" w:lineRule="auto"/>
              <w:rPr>
                <w:color w:val="FF0000"/>
              </w:rPr>
            </w:pPr>
            <w:r>
              <w:rPr>
                <w:b/>
                <w:u w:val="single"/>
              </w:rPr>
              <w:t xml:space="preserve">Lieu où travaille ce chercheur </w:t>
            </w:r>
            <w:r>
              <w:rPr>
                <w:color w:val="FF0000"/>
              </w:rPr>
              <w:t>: Collège de France</w:t>
            </w:r>
          </w:p>
          <w:p w:rsidR="0025449E" w:rsidRDefault="00070636">
            <w:pPr>
              <w:spacing w:before="240" w:after="240" w:line="276" w:lineRule="auto"/>
              <w:rPr>
                <w:color w:val="FF0000"/>
              </w:rPr>
            </w:pPr>
            <w:r>
              <w:rPr>
                <w:b/>
                <w:u w:val="single"/>
              </w:rPr>
              <w:t xml:space="preserve">Fonction de ce lieu </w:t>
            </w:r>
            <w:r>
              <w:rPr>
                <w:b/>
                <w:color w:val="FF0000"/>
                <w:u w:val="single"/>
              </w:rPr>
              <w:t>:</w:t>
            </w:r>
            <w:r>
              <w:rPr>
                <w:color w:val="FF0000"/>
              </w:rPr>
              <w:t xml:space="preserve"> lieu où l’on enseigne la recherche en histoire et comment elle se fait. Les cours y sont ouvert</w:t>
            </w:r>
            <w:r w:rsidR="001469B4">
              <w:rPr>
                <w:color w:val="FF0000"/>
              </w:rPr>
              <w:t>s</w:t>
            </w:r>
            <w:r>
              <w:rPr>
                <w:color w:val="FF0000"/>
              </w:rPr>
              <w:t xml:space="preserve"> à tous. </w:t>
            </w:r>
          </w:p>
        </w:tc>
      </w:tr>
    </w:tbl>
    <w:p w:rsidR="0025449E" w:rsidRDefault="00070636">
      <w:pPr>
        <w:spacing w:before="240" w:after="240" w:line="276" w:lineRule="auto"/>
        <w:rPr>
          <w:i/>
          <w:u w:val="single"/>
        </w:rPr>
      </w:pPr>
      <w:r>
        <w:rPr>
          <w:i/>
          <w:u w:val="single"/>
        </w:rPr>
        <w:t>2) Qu’</w:t>
      </w:r>
      <w:proofErr w:type="spellStart"/>
      <w:r>
        <w:rPr>
          <w:i/>
          <w:u w:val="single"/>
        </w:rPr>
        <w:t>est ce</w:t>
      </w:r>
      <w:proofErr w:type="spellEnd"/>
      <w:r>
        <w:rPr>
          <w:i/>
          <w:u w:val="single"/>
        </w:rPr>
        <w:t xml:space="preserve"> qu’on fait quand on fait de l’histoire avec des témoignages ?</w:t>
      </w:r>
      <w:r>
        <w:rPr>
          <w:i/>
          <w:color w:val="FF0000"/>
          <w:u w:val="single"/>
        </w:rPr>
        <w:t xml:space="preserve"> </w:t>
      </w:r>
      <w:r>
        <w:rPr>
          <w:i/>
          <w:u w:val="single"/>
        </w:rPr>
        <w:t xml:space="preserve">Relever les trois « étapes clés » selon P. Boucheron : </w:t>
      </w:r>
    </w:p>
    <w:p w:rsidR="0025449E" w:rsidRDefault="00070636">
      <w:pPr>
        <w:spacing w:before="240" w:after="240" w:line="276" w:lineRule="auto"/>
        <w:rPr>
          <w:color w:val="FF0000"/>
        </w:rPr>
      </w:pPr>
      <w:r>
        <w:rPr>
          <w:color w:val="FF0000"/>
        </w:rPr>
        <w:t>1) Collecter   2) confronter     3) critiquer</w:t>
      </w:r>
    </w:p>
    <w:p w:rsidR="0025449E" w:rsidRDefault="00070636">
      <w:pPr>
        <w:spacing w:before="240" w:after="240" w:line="276" w:lineRule="auto"/>
        <w:rPr>
          <w:i/>
          <w:u w:val="single"/>
        </w:rPr>
      </w:pPr>
      <w:r>
        <w:rPr>
          <w:i/>
          <w:u w:val="single"/>
        </w:rPr>
        <w:t>3) Relier les trois étapes avec leurs définitions dans le tableau.</w:t>
      </w:r>
    </w:p>
    <w:tbl>
      <w:tblPr>
        <w:tblStyle w:val="a0"/>
        <w:tblW w:w="100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25"/>
        <w:gridCol w:w="8355"/>
      </w:tblGrid>
      <w:tr w:rsidR="0025449E">
        <w:trPr>
          <w:trHeight w:val="500"/>
        </w:trPr>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49E" w:rsidRDefault="00070636">
            <w:pPr>
              <w:spacing w:before="240" w:after="0" w:line="276" w:lineRule="auto"/>
              <w:jc w:val="center"/>
              <w:rPr>
                <w:b/>
              </w:rPr>
            </w:pPr>
            <w:r>
              <w:rPr>
                <w:b/>
              </w:rPr>
              <w:t>Etapes clés</w:t>
            </w:r>
          </w:p>
        </w:tc>
        <w:tc>
          <w:tcPr>
            <w:tcW w:w="83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5449E" w:rsidRDefault="00070636">
            <w:pPr>
              <w:spacing w:before="240" w:after="0" w:line="276" w:lineRule="auto"/>
              <w:jc w:val="center"/>
              <w:rPr>
                <w:b/>
              </w:rPr>
            </w:pPr>
            <w:r>
              <w:rPr>
                <w:b/>
              </w:rPr>
              <w:t>Quelles actions et attitudes adopter  pendant cette étape ?</w:t>
            </w:r>
          </w:p>
        </w:tc>
      </w:tr>
      <w:tr w:rsidR="0025449E">
        <w:trPr>
          <w:trHeight w:val="1295"/>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5449E" w:rsidRDefault="00070636">
            <w:pPr>
              <w:spacing w:before="240" w:after="0" w:line="276" w:lineRule="auto"/>
              <w:jc w:val="center"/>
              <w:rPr>
                <w:color w:val="FF0000"/>
              </w:rPr>
            </w:pPr>
            <w:r>
              <w:rPr>
                <w:color w:val="FF0000"/>
              </w:rPr>
              <w:t>collecter</w:t>
            </w:r>
          </w:p>
        </w:tc>
        <w:tc>
          <w:tcPr>
            <w:tcW w:w="8355" w:type="dxa"/>
            <w:tcBorders>
              <w:top w:val="nil"/>
              <w:left w:val="nil"/>
              <w:bottom w:val="single" w:sz="8" w:space="0" w:color="000000"/>
              <w:right w:val="single" w:sz="8" w:space="0" w:color="000000"/>
            </w:tcBorders>
            <w:tcMar>
              <w:top w:w="100" w:type="dxa"/>
              <w:left w:w="100" w:type="dxa"/>
              <w:bottom w:w="100" w:type="dxa"/>
              <w:right w:w="100" w:type="dxa"/>
            </w:tcMar>
          </w:tcPr>
          <w:p w:rsidR="0025449E" w:rsidRDefault="00070636">
            <w:pPr>
              <w:spacing w:before="240" w:after="0" w:line="276" w:lineRule="auto"/>
            </w:pPr>
            <w:r>
              <w:t>Être prudent, être patient, ne pas brusquer les gens : recueillir le témoignage, c’est le provoquer, le susciter. En tant que interrogateur vous êtes coproducteur du témoignage.</w:t>
            </w:r>
          </w:p>
        </w:tc>
      </w:tr>
      <w:tr w:rsidR="0025449E">
        <w:trPr>
          <w:trHeight w:val="1850"/>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5449E" w:rsidRDefault="00070636">
            <w:pPr>
              <w:spacing w:before="240" w:after="0" w:line="276" w:lineRule="auto"/>
              <w:jc w:val="center"/>
              <w:rPr>
                <w:color w:val="FF0000"/>
              </w:rPr>
            </w:pPr>
            <w:r>
              <w:rPr>
                <w:color w:val="FF0000"/>
              </w:rPr>
              <w:t>confronter</w:t>
            </w:r>
          </w:p>
        </w:tc>
        <w:tc>
          <w:tcPr>
            <w:tcW w:w="8355" w:type="dxa"/>
            <w:tcBorders>
              <w:top w:val="nil"/>
              <w:left w:val="nil"/>
              <w:bottom w:val="single" w:sz="8" w:space="0" w:color="000000"/>
              <w:right w:val="single" w:sz="8" w:space="0" w:color="000000"/>
            </w:tcBorders>
            <w:tcMar>
              <w:top w:w="100" w:type="dxa"/>
              <w:left w:w="100" w:type="dxa"/>
              <w:bottom w:w="100" w:type="dxa"/>
              <w:right w:w="100" w:type="dxa"/>
            </w:tcMar>
          </w:tcPr>
          <w:p w:rsidR="0025449E" w:rsidRDefault="00070636">
            <w:pPr>
              <w:spacing w:before="240" w:after="0" w:line="276" w:lineRule="auto"/>
            </w:pPr>
            <w:r>
              <w:t xml:space="preserve">Comparaison de plusieurs témoignages pour qu’on ait le plus de chance de pouvoir cerner le réel, comprendre ce qui s’est vraiment passé. L’idée est aussi d’écarter les éventuels « menteurs » pour garder les témoignages les plus fidèles possibles </w:t>
            </w:r>
          </w:p>
        </w:tc>
      </w:tr>
      <w:tr w:rsidR="0025449E">
        <w:trPr>
          <w:trHeight w:val="1295"/>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5449E" w:rsidRDefault="00070636">
            <w:pPr>
              <w:spacing w:before="240" w:after="0" w:line="276" w:lineRule="auto"/>
              <w:jc w:val="center"/>
              <w:rPr>
                <w:color w:val="FF0000"/>
              </w:rPr>
            </w:pPr>
            <w:r>
              <w:rPr>
                <w:color w:val="FF0000"/>
              </w:rPr>
              <w:t>critiquer</w:t>
            </w:r>
          </w:p>
        </w:tc>
        <w:tc>
          <w:tcPr>
            <w:tcW w:w="8355" w:type="dxa"/>
            <w:tcBorders>
              <w:top w:val="nil"/>
              <w:left w:val="nil"/>
              <w:bottom w:val="single" w:sz="8" w:space="0" w:color="000000"/>
              <w:right w:val="single" w:sz="8" w:space="0" w:color="000000"/>
            </w:tcBorders>
            <w:tcMar>
              <w:top w:w="100" w:type="dxa"/>
              <w:left w:w="100" w:type="dxa"/>
              <w:bottom w:w="100" w:type="dxa"/>
              <w:right w:w="100" w:type="dxa"/>
            </w:tcMar>
          </w:tcPr>
          <w:p w:rsidR="0025449E" w:rsidRDefault="00070636">
            <w:pPr>
              <w:spacing w:before="240" w:after="0" w:line="276" w:lineRule="auto"/>
            </w:pPr>
            <w:r>
              <w:t>Ramener une parole à son lieu, à la personne qui témoigne. Expliquer pourquoi tel témoin dit cela.</w:t>
            </w:r>
          </w:p>
        </w:tc>
      </w:tr>
    </w:tbl>
    <w:p w:rsidR="0025449E" w:rsidRDefault="0025449E">
      <w:pPr>
        <w:spacing w:before="240" w:after="240" w:line="276" w:lineRule="auto"/>
        <w:ind w:left="-566"/>
        <w:rPr>
          <w:b/>
          <w:u w:val="single"/>
        </w:rPr>
      </w:pPr>
    </w:p>
    <w:p w:rsidR="0025449E" w:rsidRDefault="00070636">
      <w:pPr>
        <w:spacing w:before="240" w:after="240" w:line="276" w:lineRule="auto"/>
        <w:ind w:left="-566" w:firstLine="566"/>
        <w:rPr>
          <w:i/>
          <w:u w:val="single"/>
        </w:rPr>
      </w:pPr>
      <w:r>
        <w:rPr>
          <w:i/>
          <w:u w:val="single"/>
        </w:rPr>
        <w:lastRenderedPageBreak/>
        <w:t xml:space="preserve">4) Que </w:t>
      </w:r>
      <w:proofErr w:type="spellStart"/>
      <w:r>
        <w:rPr>
          <w:i/>
          <w:u w:val="single"/>
        </w:rPr>
        <w:t>faut il</w:t>
      </w:r>
      <w:proofErr w:type="spellEnd"/>
      <w:r>
        <w:rPr>
          <w:i/>
          <w:u w:val="single"/>
        </w:rPr>
        <w:t xml:space="preserve"> garder en tête lorsqu’on recherche des témoignages selon P. Boucheron ? </w:t>
      </w:r>
    </w:p>
    <w:p w:rsidR="0025449E" w:rsidRDefault="00070636">
      <w:pPr>
        <w:spacing w:before="240" w:after="240" w:line="276" w:lineRule="auto"/>
        <w:ind w:left="-566" w:firstLine="566"/>
        <w:rPr>
          <w:color w:val="FF0000"/>
        </w:rPr>
      </w:pPr>
      <w:r>
        <w:rPr>
          <w:color w:val="FF0000"/>
        </w:rPr>
        <w:t xml:space="preserve">Fidélité à l’expérience vécue plus que recherche de vérité. </w:t>
      </w:r>
    </w:p>
    <w:p w:rsidR="0025449E" w:rsidRDefault="0025449E">
      <w:pPr>
        <w:spacing w:after="0" w:line="276" w:lineRule="auto"/>
      </w:pPr>
    </w:p>
    <w:p w:rsidR="0025449E" w:rsidRDefault="00070636">
      <w:pPr>
        <w:spacing w:after="0" w:line="276" w:lineRule="auto"/>
        <w:rPr>
          <w:b/>
          <w:u w:val="single"/>
        </w:rPr>
      </w:pPr>
      <w:r>
        <w:rPr>
          <w:b/>
          <w:u w:val="single"/>
        </w:rPr>
        <w:t xml:space="preserve">VIDÉO 2 </w:t>
      </w:r>
    </w:p>
    <w:p w:rsidR="0025449E" w:rsidRDefault="00070636">
      <w:pPr>
        <w:numPr>
          <w:ilvl w:val="0"/>
          <w:numId w:val="2"/>
        </w:numPr>
        <w:spacing w:before="240" w:after="240" w:line="276" w:lineRule="auto"/>
        <w:rPr>
          <w:i/>
        </w:rPr>
      </w:pPr>
      <w:r>
        <w:rPr>
          <w:i/>
          <w:u w:val="single"/>
        </w:rPr>
        <w:t>Remplir la carte d’identité de l’historien</w:t>
      </w:r>
    </w:p>
    <w:tbl>
      <w:tblPr>
        <w:tblStyle w:val="a1"/>
        <w:tblW w:w="10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25449E">
        <w:tc>
          <w:tcPr>
            <w:tcW w:w="10466" w:type="dxa"/>
            <w:shd w:val="clear" w:color="auto" w:fill="auto"/>
            <w:tcMar>
              <w:top w:w="100" w:type="dxa"/>
              <w:left w:w="100" w:type="dxa"/>
              <w:bottom w:w="100" w:type="dxa"/>
              <w:right w:w="100" w:type="dxa"/>
            </w:tcMar>
          </w:tcPr>
          <w:p w:rsidR="0025449E" w:rsidRDefault="00070636">
            <w:pPr>
              <w:spacing w:before="240" w:after="240" w:line="276" w:lineRule="auto"/>
              <w:jc w:val="both"/>
              <w:rPr>
                <w:color w:val="FF0000"/>
              </w:rPr>
            </w:pPr>
            <w:r>
              <w:rPr>
                <w:b/>
                <w:u w:val="single"/>
              </w:rPr>
              <w:t>Nom du chercheur en histoire :</w:t>
            </w:r>
            <w:r w:rsidR="00131B42">
              <w:rPr>
                <w:b/>
                <w:u w:val="single"/>
              </w:rPr>
              <w:t xml:space="preserve"> </w:t>
            </w:r>
            <w:r>
              <w:rPr>
                <w:color w:val="FF0000"/>
              </w:rPr>
              <w:t xml:space="preserve">Christian </w:t>
            </w:r>
            <w:proofErr w:type="spellStart"/>
            <w:r>
              <w:rPr>
                <w:color w:val="FF0000"/>
              </w:rPr>
              <w:t>Ingrao</w:t>
            </w:r>
            <w:proofErr w:type="spellEnd"/>
          </w:p>
          <w:p w:rsidR="0025449E" w:rsidRDefault="00070636">
            <w:pPr>
              <w:spacing w:before="240" w:after="240" w:line="276" w:lineRule="auto"/>
              <w:jc w:val="both"/>
              <w:rPr>
                <w:color w:val="FF0000"/>
              </w:rPr>
            </w:pPr>
            <w:r>
              <w:rPr>
                <w:b/>
                <w:u w:val="single"/>
              </w:rPr>
              <w:t>Période / spécialité en histoire :</w:t>
            </w:r>
            <w:r>
              <w:rPr>
                <w:color w:val="FF0000"/>
              </w:rPr>
              <w:t xml:space="preserve"> histoire contemporaine XXe siècle</w:t>
            </w:r>
          </w:p>
          <w:p w:rsidR="0025449E" w:rsidRDefault="00070636">
            <w:pPr>
              <w:spacing w:before="240" w:after="240" w:line="276" w:lineRule="auto"/>
              <w:jc w:val="both"/>
              <w:rPr>
                <w:color w:val="FF0000"/>
              </w:rPr>
            </w:pPr>
            <w:r>
              <w:rPr>
                <w:b/>
                <w:u w:val="single"/>
              </w:rPr>
              <w:t xml:space="preserve">Lieu où travaille ce chercheur </w:t>
            </w:r>
            <w:r>
              <w:t>:</w:t>
            </w:r>
            <w:r>
              <w:rPr>
                <w:color w:val="FF0000"/>
              </w:rPr>
              <w:t xml:space="preserve"> Institut d’histoire du temps présent (IHTP) </w:t>
            </w:r>
          </w:p>
          <w:p w:rsidR="0025449E" w:rsidRDefault="00070636">
            <w:pPr>
              <w:spacing w:before="240" w:after="240" w:line="276" w:lineRule="auto"/>
              <w:jc w:val="both"/>
            </w:pPr>
            <w:r>
              <w:rPr>
                <w:b/>
                <w:u w:val="single"/>
              </w:rPr>
              <w:t>Fonction de ce lieu :</w:t>
            </w:r>
            <w:r>
              <w:t xml:space="preserve"> L’IHTP est un laboratoire de recherches né pendant la Seconde Guerre mondiale sous la forme d’un comité d’histoire de la Seconde Guerre mondiale de l’occupation et de la libération de la France. Leur but était de recueillir des témoignages, des récits de l’expérience de l’occupation allemande, rassembler des témoignages sur l’occupation en France pendant la Seconde Guerre mondiale. ⇒ Pendant un événement il arrive que des individus décide d’en « collationner » les traces » en même temps qu’ils le vivent. Collecte de témoignage.</w:t>
            </w:r>
          </w:p>
        </w:tc>
      </w:tr>
    </w:tbl>
    <w:p w:rsidR="0025449E" w:rsidRDefault="0025449E">
      <w:pPr>
        <w:spacing w:after="0" w:line="276" w:lineRule="auto"/>
        <w:rPr>
          <w:color w:val="FF0000"/>
        </w:rPr>
      </w:pPr>
    </w:p>
    <w:p w:rsidR="0025449E" w:rsidRDefault="00070636">
      <w:pPr>
        <w:numPr>
          <w:ilvl w:val="0"/>
          <w:numId w:val="2"/>
        </w:numPr>
        <w:spacing w:after="0" w:line="276" w:lineRule="auto"/>
        <w:rPr>
          <w:i/>
        </w:rPr>
      </w:pPr>
      <w:r>
        <w:rPr>
          <w:i/>
          <w:u w:val="single"/>
        </w:rPr>
        <w:t xml:space="preserve">Quels rôles ont joué Emmanuel </w:t>
      </w:r>
      <w:proofErr w:type="spellStart"/>
      <w:r>
        <w:rPr>
          <w:i/>
          <w:u w:val="single"/>
        </w:rPr>
        <w:t>ringelblum</w:t>
      </w:r>
      <w:proofErr w:type="spellEnd"/>
      <w:r>
        <w:rPr>
          <w:i/>
          <w:u w:val="single"/>
        </w:rPr>
        <w:t xml:space="preserve"> et </w:t>
      </w:r>
      <w:proofErr w:type="spellStart"/>
      <w:r>
        <w:rPr>
          <w:i/>
          <w:u w:val="single"/>
        </w:rPr>
        <w:t>Israel</w:t>
      </w:r>
      <w:proofErr w:type="spellEnd"/>
      <w:r>
        <w:rPr>
          <w:i/>
          <w:u w:val="single"/>
        </w:rPr>
        <w:t xml:space="preserve"> Liechtenstein dans le ghetto de Varsovie ? </w:t>
      </w:r>
    </w:p>
    <w:p w:rsidR="0025449E" w:rsidRDefault="0025449E">
      <w:pPr>
        <w:spacing w:after="0" w:line="276" w:lineRule="auto"/>
        <w:ind w:left="720"/>
        <w:rPr>
          <w:b/>
          <w:color w:val="FF0000"/>
          <w:u w:val="single"/>
        </w:rPr>
      </w:pPr>
    </w:p>
    <w:p w:rsidR="0025449E" w:rsidRDefault="00070636">
      <w:pPr>
        <w:spacing w:after="0" w:line="276" w:lineRule="auto"/>
        <w:jc w:val="both"/>
        <w:rPr>
          <w:color w:val="FF0000"/>
        </w:rPr>
      </w:pPr>
      <w:r>
        <w:rPr>
          <w:color w:val="FF0000"/>
        </w:rPr>
        <w:t xml:space="preserve">E. </w:t>
      </w:r>
      <w:proofErr w:type="spellStart"/>
      <w:r>
        <w:rPr>
          <w:color w:val="FF0000"/>
        </w:rPr>
        <w:t>Ringelblum</w:t>
      </w:r>
      <w:proofErr w:type="spellEnd"/>
      <w:r>
        <w:rPr>
          <w:color w:val="FF0000"/>
        </w:rPr>
        <w:t xml:space="preserve"> a lancé une action de collecte de témoignages de la vie dans le ghetto afin de laisser des traces et de sauver de l’oubli l’expérience de ceux qui ont vécu dans ce ghetto. Israël Liechtenstein, lui, a caché les témoignages pour qu’ils soient retrouvés plus tard. </w:t>
      </w:r>
    </w:p>
    <w:p w:rsidR="0025449E" w:rsidRDefault="0025449E">
      <w:pPr>
        <w:spacing w:after="0" w:line="276" w:lineRule="auto"/>
        <w:rPr>
          <w:color w:val="FF0000"/>
        </w:rPr>
      </w:pPr>
    </w:p>
    <w:p w:rsidR="0025449E" w:rsidRDefault="00070636">
      <w:pPr>
        <w:numPr>
          <w:ilvl w:val="0"/>
          <w:numId w:val="2"/>
        </w:numPr>
        <w:spacing w:after="0" w:line="276" w:lineRule="auto"/>
        <w:rPr>
          <w:i/>
        </w:rPr>
      </w:pPr>
      <w:r>
        <w:rPr>
          <w:i/>
          <w:u w:val="single"/>
        </w:rPr>
        <w:t>Que découvrent les ouvriers le 18 septembre 1946 à Varsovie ?</w:t>
      </w:r>
    </w:p>
    <w:p w:rsidR="0025449E" w:rsidRDefault="00070636">
      <w:pPr>
        <w:spacing w:after="0" w:line="276" w:lineRule="auto"/>
        <w:rPr>
          <w:color w:val="FF0000"/>
        </w:rPr>
      </w:pPr>
      <w:r>
        <w:rPr>
          <w:color w:val="FF0000"/>
        </w:rPr>
        <w:t>Journaux, lettres, chro</w:t>
      </w:r>
      <w:r w:rsidR="001469B4">
        <w:rPr>
          <w:color w:val="FF0000"/>
        </w:rPr>
        <w:t>niques de personnes ayant vécu</w:t>
      </w:r>
      <w:r>
        <w:rPr>
          <w:color w:val="FF0000"/>
        </w:rPr>
        <w:t xml:space="preserve"> dans le ghetto. </w:t>
      </w:r>
    </w:p>
    <w:p w:rsidR="0025449E" w:rsidRDefault="00070636">
      <w:pPr>
        <w:numPr>
          <w:ilvl w:val="0"/>
          <w:numId w:val="2"/>
        </w:numPr>
        <w:spacing w:before="240" w:after="240" w:line="276" w:lineRule="auto"/>
        <w:rPr>
          <w:i/>
        </w:rPr>
      </w:pPr>
      <w:r>
        <w:rPr>
          <w:i/>
          <w:u w:val="single"/>
        </w:rPr>
        <w:t xml:space="preserve">D’après le dernier écrit d’E. </w:t>
      </w:r>
      <w:proofErr w:type="spellStart"/>
      <w:r>
        <w:rPr>
          <w:i/>
          <w:u w:val="single"/>
        </w:rPr>
        <w:t>Ringelblum</w:t>
      </w:r>
      <w:proofErr w:type="spellEnd"/>
      <w:r>
        <w:rPr>
          <w:i/>
          <w:u w:val="single"/>
        </w:rPr>
        <w:t xml:space="preserve">, quelle fonction est au </w:t>
      </w:r>
      <w:proofErr w:type="spellStart"/>
      <w:r>
        <w:rPr>
          <w:i/>
          <w:u w:val="single"/>
        </w:rPr>
        <w:t>coeur</w:t>
      </w:r>
      <w:proofErr w:type="spellEnd"/>
      <w:r>
        <w:rPr>
          <w:i/>
          <w:u w:val="single"/>
        </w:rPr>
        <w:t xml:space="preserve"> de la démarche de témoignage ?</w:t>
      </w:r>
    </w:p>
    <w:p w:rsidR="0025449E" w:rsidRDefault="00070636">
      <w:pPr>
        <w:spacing w:before="240" w:after="240" w:line="276" w:lineRule="auto"/>
        <w:rPr>
          <w:color w:val="FF0000"/>
        </w:rPr>
      </w:pPr>
      <w:r>
        <w:rPr>
          <w:color w:val="FF0000"/>
        </w:rPr>
        <w:t>L’action de transmission fondamentale.</w:t>
      </w:r>
    </w:p>
    <w:p w:rsidR="0025449E" w:rsidRDefault="00070636">
      <w:pPr>
        <w:numPr>
          <w:ilvl w:val="0"/>
          <w:numId w:val="2"/>
        </w:numPr>
        <w:spacing w:before="240" w:after="240" w:line="276" w:lineRule="auto"/>
        <w:rPr>
          <w:i/>
        </w:rPr>
      </w:pPr>
      <w:r>
        <w:rPr>
          <w:i/>
          <w:u w:val="single"/>
        </w:rPr>
        <w:t xml:space="preserve">A quel groupe </w:t>
      </w:r>
      <w:proofErr w:type="gramStart"/>
      <w:r>
        <w:rPr>
          <w:i/>
          <w:u w:val="single"/>
        </w:rPr>
        <w:t>social  Raphael</w:t>
      </w:r>
      <w:proofErr w:type="gramEnd"/>
      <w:r>
        <w:rPr>
          <w:i/>
          <w:u w:val="single"/>
        </w:rPr>
        <w:t xml:space="preserve"> Samuel s'intéresse-t-il dans les années 1960 ? Entoure la réponse qui te semble pertinente</w:t>
      </w:r>
    </w:p>
    <w:p w:rsidR="0025449E" w:rsidRDefault="00070636">
      <w:pPr>
        <w:spacing w:before="240" w:after="240" w:line="276" w:lineRule="auto"/>
      </w:pPr>
      <w:r>
        <w:t xml:space="preserve">                  Les bourgeois                             Les jeunes                        Les ouvriers       </w:t>
      </w:r>
    </w:p>
    <w:p w:rsidR="0025449E" w:rsidRDefault="00070636">
      <w:pPr>
        <w:numPr>
          <w:ilvl w:val="0"/>
          <w:numId w:val="2"/>
        </w:numPr>
        <w:spacing w:before="240" w:after="240" w:line="276" w:lineRule="auto"/>
        <w:rPr>
          <w:i/>
        </w:rPr>
      </w:pPr>
      <w:r>
        <w:rPr>
          <w:i/>
          <w:u w:val="single"/>
        </w:rPr>
        <w:t>La démarche de Raphaël Samuel s’appelle “faire de l’histoire par le bas”. Coche la définition de ce que pourrait être “l’histoire par le bas”</w:t>
      </w:r>
    </w:p>
    <w:p w:rsidR="0025449E" w:rsidRDefault="00070636">
      <w:pPr>
        <w:spacing w:before="240" w:after="240" w:line="276" w:lineRule="auto"/>
        <w:ind w:left="720"/>
        <w:jc w:val="both"/>
        <w:rPr>
          <w:color w:val="222222"/>
          <w:sz w:val="21"/>
          <w:szCs w:val="21"/>
          <w:highlight w:val="white"/>
        </w:rPr>
      </w:pPr>
      <w:proofErr w:type="gramStart"/>
      <w:r>
        <w:rPr>
          <w:color w:val="222222"/>
          <w:sz w:val="21"/>
          <w:szCs w:val="21"/>
          <w:highlight w:val="white"/>
        </w:rPr>
        <w:t xml:space="preserve">[]   </w:t>
      </w:r>
      <w:proofErr w:type="gramEnd"/>
      <w:r>
        <w:rPr>
          <w:color w:val="222222"/>
          <w:sz w:val="21"/>
          <w:szCs w:val="21"/>
          <w:highlight w:val="white"/>
        </w:rPr>
        <w:t xml:space="preserve">L’histoire “par le bas” consiste à s’intéresser aux événements historiques du point de vue des gens ordinaires plutôt que de celui des élites intellectuels, économiques, culturelles, politiques.  </w:t>
      </w:r>
    </w:p>
    <w:p w:rsidR="0025449E" w:rsidRDefault="00070636">
      <w:pPr>
        <w:spacing w:before="240" w:after="240" w:line="276" w:lineRule="auto"/>
        <w:ind w:left="720"/>
        <w:rPr>
          <w:color w:val="222222"/>
          <w:sz w:val="21"/>
          <w:szCs w:val="21"/>
          <w:highlight w:val="white"/>
        </w:rPr>
      </w:pPr>
      <w:r>
        <w:rPr>
          <w:color w:val="222222"/>
          <w:sz w:val="21"/>
          <w:szCs w:val="21"/>
          <w:highlight w:val="white"/>
        </w:rPr>
        <w:t xml:space="preserve">[] L’histoire “par le bas” consiste à s’intéresser aux grands personnages et aux grands évènements. </w:t>
      </w:r>
    </w:p>
    <w:p w:rsidR="0025449E" w:rsidRDefault="0025449E">
      <w:pPr>
        <w:spacing w:before="240" w:after="240" w:line="276" w:lineRule="auto"/>
      </w:pPr>
    </w:p>
    <w:p w:rsidR="0025449E" w:rsidRPr="001469B4" w:rsidRDefault="00070636">
      <w:pPr>
        <w:spacing w:before="240" w:after="240" w:line="276" w:lineRule="auto"/>
        <w:rPr>
          <w:b/>
          <w:u w:val="single"/>
        </w:rPr>
      </w:pPr>
      <w:r w:rsidRPr="001469B4">
        <w:rPr>
          <w:b/>
          <w:u w:val="single"/>
        </w:rPr>
        <w:lastRenderedPageBreak/>
        <w:t>VIDEO 3</w:t>
      </w:r>
    </w:p>
    <w:p w:rsidR="0025449E" w:rsidRDefault="00070636">
      <w:pPr>
        <w:numPr>
          <w:ilvl w:val="0"/>
          <w:numId w:val="1"/>
        </w:numPr>
        <w:spacing w:before="240" w:after="240" w:line="276" w:lineRule="auto"/>
        <w:rPr>
          <w:i/>
        </w:rPr>
      </w:pPr>
      <w:r>
        <w:rPr>
          <w:i/>
          <w:u w:val="single"/>
        </w:rPr>
        <w:t>Remplir la carte d’identité de l’historien</w:t>
      </w:r>
    </w:p>
    <w:tbl>
      <w:tblPr>
        <w:tblStyle w:val="a2"/>
        <w:tblW w:w="10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25449E">
        <w:tc>
          <w:tcPr>
            <w:tcW w:w="10466" w:type="dxa"/>
            <w:shd w:val="clear" w:color="auto" w:fill="auto"/>
            <w:tcMar>
              <w:top w:w="100" w:type="dxa"/>
              <w:left w:w="100" w:type="dxa"/>
              <w:bottom w:w="100" w:type="dxa"/>
              <w:right w:w="100" w:type="dxa"/>
            </w:tcMar>
          </w:tcPr>
          <w:p w:rsidR="0025449E" w:rsidRDefault="00070636">
            <w:pPr>
              <w:widowControl w:val="0"/>
              <w:pBdr>
                <w:top w:val="nil"/>
                <w:left w:val="nil"/>
                <w:bottom w:val="nil"/>
                <w:right w:val="nil"/>
                <w:between w:val="nil"/>
              </w:pBdr>
              <w:spacing w:after="0" w:line="240" w:lineRule="auto"/>
              <w:rPr>
                <w:color w:val="FF0000"/>
              </w:rPr>
            </w:pPr>
            <w:r>
              <w:rPr>
                <w:b/>
                <w:u w:val="single"/>
              </w:rPr>
              <w:t xml:space="preserve">Nom du chercheur en histoire : </w:t>
            </w:r>
            <w:r>
              <w:rPr>
                <w:color w:val="FF0000"/>
              </w:rPr>
              <w:t xml:space="preserve">Denis </w:t>
            </w:r>
            <w:proofErr w:type="spellStart"/>
            <w:r>
              <w:rPr>
                <w:color w:val="FF0000"/>
              </w:rPr>
              <w:t>Peschanski</w:t>
            </w:r>
            <w:proofErr w:type="spellEnd"/>
          </w:p>
          <w:p w:rsidR="0025449E" w:rsidRDefault="0025449E">
            <w:pPr>
              <w:widowControl w:val="0"/>
              <w:pBdr>
                <w:top w:val="nil"/>
                <w:left w:val="nil"/>
                <w:bottom w:val="nil"/>
                <w:right w:val="nil"/>
                <w:between w:val="nil"/>
              </w:pBdr>
              <w:spacing w:after="0" w:line="240" w:lineRule="auto"/>
              <w:rPr>
                <w:b/>
                <w:u w:val="single"/>
              </w:rPr>
            </w:pPr>
          </w:p>
          <w:p w:rsidR="0025449E" w:rsidRDefault="00070636">
            <w:pPr>
              <w:widowControl w:val="0"/>
              <w:pBdr>
                <w:top w:val="nil"/>
                <w:left w:val="nil"/>
                <w:bottom w:val="nil"/>
                <w:right w:val="nil"/>
                <w:between w:val="nil"/>
              </w:pBdr>
              <w:spacing w:after="0" w:line="240" w:lineRule="auto"/>
              <w:rPr>
                <w:color w:val="FF0000"/>
              </w:rPr>
            </w:pPr>
            <w:r>
              <w:rPr>
                <w:b/>
                <w:u w:val="single"/>
              </w:rPr>
              <w:t xml:space="preserve">Période/spécialité de recherches : </w:t>
            </w:r>
            <w:r>
              <w:rPr>
                <w:color w:val="FF0000"/>
              </w:rPr>
              <w:t>Seconde Guerre mondiale mais aussi attentats (11 septembre, 13 novembre 2015)</w:t>
            </w:r>
          </w:p>
          <w:p w:rsidR="0025449E" w:rsidRDefault="0025449E">
            <w:pPr>
              <w:widowControl w:val="0"/>
              <w:pBdr>
                <w:top w:val="nil"/>
                <w:left w:val="nil"/>
                <w:bottom w:val="nil"/>
                <w:right w:val="nil"/>
                <w:between w:val="nil"/>
              </w:pBdr>
              <w:spacing w:after="0" w:line="240" w:lineRule="auto"/>
              <w:rPr>
                <w:b/>
                <w:u w:val="single"/>
              </w:rPr>
            </w:pPr>
          </w:p>
          <w:p w:rsidR="0025449E" w:rsidRDefault="00070636">
            <w:pPr>
              <w:widowControl w:val="0"/>
              <w:pBdr>
                <w:top w:val="nil"/>
                <w:left w:val="nil"/>
                <w:bottom w:val="nil"/>
                <w:right w:val="nil"/>
                <w:between w:val="nil"/>
              </w:pBdr>
              <w:spacing w:after="0" w:line="240" w:lineRule="auto"/>
              <w:rPr>
                <w:color w:val="FF0000"/>
              </w:rPr>
            </w:pPr>
            <w:r>
              <w:rPr>
                <w:b/>
                <w:u w:val="single"/>
              </w:rPr>
              <w:t xml:space="preserve">Lieu où travaille le chercheur : </w:t>
            </w:r>
            <w:r>
              <w:rPr>
                <w:color w:val="FF0000"/>
              </w:rPr>
              <w:t>CNRS : Centre National de la Recherche Scientifique</w:t>
            </w:r>
          </w:p>
        </w:tc>
      </w:tr>
    </w:tbl>
    <w:p w:rsidR="0025449E" w:rsidRDefault="0025449E">
      <w:pPr>
        <w:spacing w:before="240" w:after="240" w:line="276" w:lineRule="auto"/>
      </w:pPr>
    </w:p>
    <w:p w:rsidR="0025449E" w:rsidRDefault="00070636">
      <w:pPr>
        <w:numPr>
          <w:ilvl w:val="0"/>
          <w:numId w:val="1"/>
        </w:numPr>
        <w:spacing w:before="240" w:after="240" w:line="276" w:lineRule="auto"/>
        <w:rPr>
          <w:i/>
        </w:rPr>
      </w:pPr>
      <w:r>
        <w:rPr>
          <w:i/>
          <w:u w:val="single"/>
        </w:rPr>
        <w:t xml:space="preserve">Quel est l’objectif du Programme 13/11 que co-préside Denis </w:t>
      </w:r>
      <w:proofErr w:type="spellStart"/>
      <w:r>
        <w:rPr>
          <w:i/>
          <w:u w:val="single"/>
        </w:rPr>
        <w:t>Peschanski</w:t>
      </w:r>
      <w:proofErr w:type="spellEnd"/>
      <w:r>
        <w:rPr>
          <w:i/>
          <w:u w:val="single"/>
        </w:rPr>
        <w:t xml:space="preserve"> ?</w:t>
      </w:r>
    </w:p>
    <w:p w:rsidR="0025449E" w:rsidRDefault="00070636">
      <w:pPr>
        <w:spacing w:before="240" w:after="240" w:line="276" w:lineRule="auto"/>
        <w:rPr>
          <w:color w:val="FF0000"/>
        </w:rPr>
      </w:pPr>
      <w:r>
        <w:rPr>
          <w:color w:val="FF0000"/>
        </w:rPr>
        <w:t xml:space="preserve">Interroger sur 12 ans 1000 témoins directs ou indirects des attentats du 13 novembre 2015 à Paris afin d’étudier la façon dont les Français se souviennent de cet événement, c’est-à-dire ce qu’on appelle la “mémoire” des attentats. </w:t>
      </w:r>
    </w:p>
    <w:p w:rsidR="0025449E" w:rsidRDefault="00070636">
      <w:pPr>
        <w:numPr>
          <w:ilvl w:val="0"/>
          <w:numId w:val="1"/>
        </w:numPr>
        <w:spacing w:before="240" w:after="240" w:line="276" w:lineRule="auto"/>
        <w:rPr>
          <w:i/>
        </w:rPr>
      </w:pPr>
      <w:r>
        <w:rPr>
          <w:i/>
          <w:u w:val="single"/>
        </w:rPr>
        <w:t xml:space="preserve">Est-ce que Denis </w:t>
      </w:r>
      <w:proofErr w:type="spellStart"/>
      <w:r>
        <w:rPr>
          <w:i/>
          <w:u w:val="single"/>
        </w:rPr>
        <w:t>Peschanski</w:t>
      </w:r>
      <w:proofErr w:type="spellEnd"/>
      <w:r>
        <w:rPr>
          <w:i/>
          <w:u w:val="single"/>
        </w:rPr>
        <w:t xml:space="preserve"> considère le témoignage comme une source comme les autres ? </w:t>
      </w:r>
      <w:proofErr w:type="gramStart"/>
      <w:r>
        <w:rPr>
          <w:i/>
          <w:u w:val="single"/>
        </w:rPr>
        <w:t>Choisissez la</w:t>
      </w:r>
      <w:proofErr w:type="gramEnd"/>
      <w:r>
        <w:rPr>
          <w:i/>
          <w:u w:val="single"/>
        </w:rPr>
        <w:t xml:space="preserve"> ou les réponse(s) qui vous semble(nt) la(les) plus juste(s) : </w:t>
      </w:r>
    </w:p>
    <w:p w:rsidR="0025449E" w:rsidRDefault="00070636">
      <w:pPr>
        <w:numPr>
          <w:ilvl w:val="0"/>
          <w:numId w:val="4"/>
        </w:numPr>
        <w:spacing w:before="240" w:after="0" w:line="276" w:lineRule="auto"/>
      </w:pPr>
      <w:r>
        <w:t>Oui, le témoignage est une source comme une et n’est pas très différent des documents administratifs ou des textes de loi (source écrite)</w:t>
      </w:r>
    </w:p>
    <w:p w:rsidR="0025449E" w:rsidRDefault="00070636">
      <w:pPr>
        <w:numPr>
          <w:ilvl w:val="0"/>
          <w:numId w:val="4"/>
        </w:numPr>
        <w:spacing w:after="0" w:line="276" w:lineRule="auto"/>
      </w:pPr>
      <w:r>
        <w:t xml:space="preserve">Non, le témoignage est une source singulière parce qu’il évolue au fil du temps en fonction de ce que le témoin a vécu et a entendu : il permet de s’intéresser à la vérité du témoin, c’est à dire à la façon dont le témoin a vécu et raconte un événement. </w:t>
      </w:r>
    </w:p>
    <w:p w:rsidR="0025449E" w:rsidRDefault="00070636">
      <w:pPr>
        <w:numPr>
          <w:ilvl w:val="0"/>
          <w:numId w:val="4"/>
        </w:numPr>
        <w:spacing w:after="240" w:line="276" w:lineRule="auto"/>
      </w:pPr>
      <w:r>
        <w:t xml:space="preserve">Non, le témoignage ne doit pas être utilisé en histoire car il est peu fiable et ne dit pas la vérité historique. </w:t>
      </w:r>
    </w:p>
    <w:p w:rsidR="0025449E" w:rsidRDefault="00070636">
      <w:pPr>
        <w:spacing w:before="240" w:after="240" w:line="276" w:lineRule="auto"/>
        <w:jc w:val="both"/>
        <w:rPr>
          <w:color w:val="FF0000"/>
          <w:u w:val="single"/>
        </w:rPr>
      </w:pPr>
      <w:r>
        <w:rPr>
          <w:color w:val="FF0000"/>
        </w:rPr>
        <w:t xml:space="preserve">On peut le considérer comme une source parmi les autres (comme les sources administratives, les traités diplomatiques…) mais les témoignages sont une source particulière qui est construite et reconstruite au fin du </w:t>
      </w:r>
      <w:proofErr w:type="gramStart"/>
      <w:r>
        <w:rPr>
          <w:color w:val="FF0000"/>
        </w:rPr>
        <w:t>temps  :</w:t>
      </w:r>
      <w:proofErr w:type="gramEnd"/>
      <w:r>
        <w:rPr>
          <w:color w:val="FF0000"/>
        </w:rPr>
        <w:t xml:space="preserve"> on ne se rappelle pas de la même manière un événement au fin du temps (ça dépend de ce qu’on a vécu et de ce qu’on  a entendu depuis - la mémoire collective influence la mémoire des individus, la mémoire individuelle). Le témoignage est donc un objet historique à part entière qui ne s’intéresse pas à la Vérité générale, la vérité historique, mais à la </w:t>
      </w:r>
      <w:r>
        <w:rPr>
          <w:color w:val="FF0000"/>
          <w:u w:val="single"/>
        </w:rPr>
        <w:t xml:space="preserve">vérité du témoin = la façon dont le témoin raconte un événement. </w:t>
      </w:r>
    </w:p>
    <w:p w:rsidR="0025449E" w:rsidRDefault="00070636">
      <w:pPr>
        <w:numPr>
          <w:ilvl w:val="0"/>
          <w:numId w:val="1"/>
        </w:numPr>
        <w:rPr>
          <w:i/>
        </w:rPr>
      </w:pPr>
      <w:r>
        <w:rPr>
          <w:i/>
          <w:u w:val="single"/>
        </w:rPr>
        <w:t xml:space="preserve">D. </w:t>
      </w:r>
      <w:proofErr w:type="spellStart"/>
      <w:r>
        <w:rPr>
          <w:i/>
          <w:u w:val="single"/>
        </w:rPr>
        <w:t>Peschanski</w:t>
      </w:r>
      <w:proofErr w:type="spellEnd"/>
      <w:r>
        <w:rPr>
          <w:i/>
          <w:u w:val="single"/>
        </w:rPr>
        <w:t xml:space="preserve"> explique que l’on peut mener l’entretien de deux </w:t>
      </w:r>
      <w:proofErr w:type="gramStart"/>
      <w:r>
        <w:rPr>
          <w:i/>
          <w:u w:val="single"/>
        </w:rPr>
        <w:t>façon .</w:t>
      </w:r>
      <w:proofErr w:type="gramEnd"/>
      <w:r>
        <w:rPr>
          <w:i/>
          <w:u w:val="single"/>
        </w:rPr>
        <w:t xml:space="preserve"> Remplissez le tableau avec les caractéristiques de chacune</w:t>
      </w:r>
      <w:r w:rsidR="001469B4">
        <w:rPr>
          <w:i/>
          <w:u w:val="single"/>
        </w:rPr>
        <w:t> :</w:t>
      </w:r>
    </w:p>
    <w:tbl>
      <w:tblPr>
        <w:tblStyle w:val="a3"/>
        <w:tblW w:w="10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3"/>
        <w:gridCol w:w="5233"/>
      </w:tblGrid>
      <w:tr w:rsidR="0025449E">
        <w:tc>
          <w:tcPr>
            <w:tcW w:w="5233" w:type="dxa"/>
            <w:shd w:val="clear" w:color="auto" w:fill="auto"/>
            <w:tcMar>
              <w:top w:w="100" w:type="dxa"/>
              <w:left w:w="100" w:type="dxa"/>
              <w:bottom w:w="100" w:type="dxa"/>
              <w:right w:w="100" w:type="dxa"/>
            </w:tcMar>
          </w:tcPr>
          <w:p w:rsidR="0025449E" w:rsidRDefault="00070636">
            <w:pPr>
              <w:widowControl w:val="0"/>
              <w:pBdr>
                <w:top w:val="nil"/>
                <w:left w:val="nil"/>
                <w:bottom w:val="nil"/>
                <w:right w:val="nil"/>
                <w:between w:val="nil"/>
              </w:pBdr>
              <w:spacing w:after="0" w:line="240" w:lineRule="auto"/>
              <w:jc w:val="center"/>
              <w:rPr>
                <w:b/>
              </w:rPr>
            </w:pPr>
            <w:r>
              <w:rPr>
                <w:b/>
              </w:rPr>
              <w:t>L’entretien non directif ou semi directif</w:t>
            </w:r>
          </w:p>
        </w:tc>
        <w:tc>
          <w:tcPr>
            <w:tcW w:w="5233" w:type="dxa"/>
            <w:shd w:val="clear" w:color="auto" w:fill="auto"/>
            <w:tcMar>
              <w:top w:w="100" w:type="dxa"/>
              <w:left w:w="100" w:type="dxa"/>
              <w:bottom w:w="100" w:type="dxa"/>
              <w:right w:w="100" w:type="dxa"/>
            </w:tcMar>
          </w:tcPr>
          <w:p w:rsidR="0025449E" w:rsidRDefault="00070636">
            <w:pPr>
              <w:widowControl w:val="0"/>
              <w:pBdr>
                <w:top w:val="nil"/>
                <w:left w:val="nil"/>
                <w:bottom w:val="nil"/>
                <w:right w:val="nil"/>
                <w:between w:val="nil"/>
              </w:pBdr>
              <w:spacing w:after="0" w:line="240" w:lineRule="auto"/>
              <w:jc w:val="center"/>
              <w:rPr>
                <w:b/>
              </w:rPr>
            </w:pPr>
            <w:r>
              <w:rPr>
                <w:b/>
              </w:rPr>
              <w:t>L’entretien directif</w:t>
            </w:r>
          </w:p>
        </w:tc>
      </w:tr>
      <w:tr w:rsidR="0025449E">
        <w:tc>
          <w:tcPr>
            <w:tcW w:w="5233" w:type="dxa"/>
            <w:shd w:val="clear" w:color="auto" w:fill="auto"/>
            <w:tcMar>
              <w:top w:w="100" w:type="dxa"/>
              <w:left w:w="100" w:type="dxa"/>
              <w:bottom w:w="100" w:type="dxa"/>
              <w:right w:w="100" w:type="dxa"/>
            </w:tcMar>
          </w:tcPr>
          <w:p w:rsidR="0025449E" w:rsidRDefault="00070636">
            <w:pPr>
              <w:rPr>
                <w:color w:val="FF0000"/>
              </w:rPr>
            </w:pPr>
            <w:r>
              <w:rPr>
                <w:color w:val="FF0000"/>
              </w:rPr>
              <w:t xml:space="preserve">Des questions “libres”, “ouvertes” : en n'interrompant JAMAIS le témoin. Laisser le témoin développer ses idées et son témoigne sans être coupé. </w:t>
            </w:r>
          </w:p>
        </w:tc>
        <w:tc>
          <w:tcPr>
            <w:tcW w:w="5233" w:type="dxa"/>
            <w:shd w:val="clear" w:color="auto" w:fill="auto"/>
            <w:tcMar>
              <w:top w:w="100" w:type="dxa"/>
              <w:left w:w="100" w:type="dxa"/>
              <w:bottom w:w="100" w:type="dxa"/>
              <w:right w:w="100" w:type="dxa"/>
            </w:tcMar>
          </w:tcPr>
          <w:p w:rsidR="0025449E" w:rsidRDefault="00070636">
            <w:pPr>
              <w:rPr>
                <w:color w:val="FF0000"/>
              </w:rPr>
            </w:pPr>
            <w:r>
              <w:rPr>
                <w:color w:val="FF0000"/>
              </w:rPr>
              <w:t xml:space="preserve">Questionnaires avec des questions plus précises, claires sur des éléments particuliers : l’intervieweur attend des réponses précises et plus courtes. </w:t>
            </w:r>
          </w:p>
        </w:tc>
      </w:tr>
    </w:tbl>
    <w:p w:rsidR="0025449E" w:rsidRDefault="00070636">
      <w:pPr>
        <w:numPr>
          <w:ilvl w:val="0"/>
          <w:numId w:val="1"/>
        </w:numPr>
        <w:rPr>
          <w:i/>
        </w:rPr>
      </w:pPr>
      <w:r>
        <w:rPr>
          <w:i/>
          <w:u w:val="single"/>
        </w:rPr>
        <w:t>Quelles sont les qualités nécessaires d’un bon enquêteur qui arrive à bien faire témoigner les gens ?</w:t>
      </w:r>
    </w:p>
    <w:p w:rsidR="0025449E" w:rsidRDefault="00070636">
      <w:pPr>
        <w:rPr>
          <w:color w:val="FF0000"/>
        </w:rPr>
      </w:pPr>
      <w:r>
        <w:rPr>
          <w:color w:val="FF0000"/>
        </w:rPr>
        <w:t xml:space="preserve">Il faut être attentif, à l’écoute, dans l’empathie pour mettre la personne en confiance et qu’elle puisse se livrer. </w:t>
      </w:r>
    </w:p>
    <w:p w:rsidR="0025449E" w:rsidRDefault="0025449E">
      <w:pPr>
        <w:rPr>
          <w:color w:val="FF0000"/>
        </w:rPr>
      </w:pPr>
    </w:p>
    <w:p w:rsidR="001469B4" w:rsidRDefault="001469B4">
      <w:pPr>
        <w:rPr>
          <w:color w:val="FF0000"/>
        </w:rPr>
      </w:pPr>
    </w:p>
    <w:p w:rsidR="0025449E" w:rsidRDefault="00070636">
      <w:pPr>
        <w:rPr>
          <w:u w:val="single"/>
        </w:rPr>
      </w:pPr>
      <w:r>
        <w:rPr>
          <w:u w:val="single"/>
        </w:rPr>
        <w:lastRenderedPageBreak/>
        <w:t xml:space="preserve">VIDEO 4 </w:t>
      </w:r>
    </w:p>
    <w:p w:rsidR="0025449E" w:rsidRDefault="00070636">
      <w:pPr>
        <w:numPr>
          <w:ilvl w:val="0"/>
          <w:numId w:val="3"/>
        </w:numPr>
        <w:spacing w:before="240" w:after="240" w:line="276" w:lineRule="auto"/>
        <w:jc w:val="both"/>
        <w:rPr>
          <w:i/>
        </w:rPr>
      </w:pPr>
      <w:r>
        <w:rPr>
          <w:i/>
          <w:u w:val="single"/>
        </w:rPr>
        <w:t>Remplir la carte d’identité de l’historien</w:t>
      </w:r>
    </w:p>
    <w:tbl>
      <w:tblPr>
        <w:tblStyle w:val="a4"/>
        <w:tblW w:w="10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25449E">
        <w:tc>
          <w:tcPr>
            <w:tcW w:w="10466" w:type="dxa"/>
            <w:shd w:val="clear" w:color="auto" w:fill="auto"/>
            <w:tcMar>
              <w:top w:w="100" w:type="dxa"/>
              <w:left w:w="100" w:type="dxa"/>
              <w:bottom w:w="100" w:type="dxa"/>
              <w:right w:w="100" w:type="dxa"/>
            </w:tcMar>
          </w:tcPr>
          <w:p w:rsidR="0025449E" w:rsidRDefault="00070636">
            <w:pPr>
              <w:spacing w:before="240" w:after="240" w:line="276" w:lineRule="auto"/>
              <w:jc w:val="both"/>
              <w:rPr>
                <w:color w:val="FF0000"/>
              </w:rPr>
            </w:pPr>
            <w:r>
              <w:rPr>
                <w:b/>
                <w:u w:val="single"/>
              </w:rPr>
              <w:t>Nom du chercheur en histoire :</w:t>
            </w:r>
            <w:r>
              <w:rPr>
                <w:color w:val="FF0000"/>
              </w:rPr>
              <w:t xml:space="preserve"> Samuel Kuhn</w:t>
            </w:r>
          </w:p>
          <w:p w:rsidR="0025449E" w:rsidRDefault="00070636">
            <w:pPr>
              <w:spacing w:before="240" w:after="240" w:line="276" w:lineRule="auto"/>
              <w:jc w:val="both"/>
              <w:rPr>
                <w:color w:val="FF0000"/>
              </w:rPr>
            </w:pPr>
            <w:r>
              <w:rPr>
                <w:b/>
                <w:u w:val="single"/>
              </w:rPr>
              <w:t>Période / spécialité en histoire :</w:t>
            </w:r>
            <w:r>
              <w:rPr>
                <w:color w:val="FF0000"/>
              </w:rPr>
              <w:t xml:space="preserve"> histoire contemporaine XXe siècle</w:t>
            </w:r>
          </w:p>
          <w:p w:rsidR="0025449E" w:rsidRDefault="00070636">
            <w:pPr>
              <w:spacing w:before="240" w:after="240" w:line="276" w:lineRule="auto"/>
              <w:jc w:val="both"/>
              <w:rPr>
                <w:b/>
                <w:u w:val="single"/>
              </w:rPr>
            </w:pPr>
            <w:r>
              <w:rPr>
                <w:b/>
                <w:u w:val="single"/>
              </w:rPr>
              <w:t xml:space="preserve">Lieu où travaille ce chercheur: </w:t>
            </w:r>
            <w:r>
              <w:rPr>
                <w:color w:val="FF0000"/>
              </w:rPr>
              <w:t xml:space="preserve"> Education Nationale - professeur en lycée, formateur et auteur de manuels scolaires</w:t>
            </w:r>
          </w:p>
        </w:tc>
      </w:tr>
    </w:tbl>
    <w:p w:rsidR="0025449E" w:rsidRDefault="0025449E">
      <w:pPr>
        <w:rPr>
          <w:b/>
        </w:rPr>
      </w:pPr>
    </w:p>
    <w:p w:rsidR="0025449E" w:rsidRDefault="00070636">
      <w:pPr>
        <w:numPr>
          <w:ilvl w:val="0"/>
          <w:numId w:val="3"/>
        </w:numPr>
      </w:pPr>
      <w:r>
        <w:rPr>
          <w:i/>
          <w:u w:val="single"/>
        </w:rPr>
        <w:t>Comment faire pour garder la trace de l’entretien ?</w:t>
      </w:r>
      <w:r>
        <w:t xml:space="preserve"> </w:t>
      </w:r>
    </w:p>
    <w:p w:rsidR="0025449E" w:rsidRDefault="00070636">
      <w:pPr>
        <w:rPr>
          <w:color w:val="FF0000"/>
        </w:rPr>
      </w:pPr>
      <w:r>
        <w:rPr>
          <w:color w:val="FF0000"/>
        </w:rPr>
        <w:t xml:space="preserve">Essayer d’enregistrer l’entretien, en vidéo ou en prenant en notes, c'est-à-dire en écrivant ce que vous dit la personne interrogée. </w:t>
      </w:r>
    </w:p>
    <w:p w:rsidR="0025449E" w:rsidRDefault="00070636">
      <w:pPr>
        <w:numPr>
          <w:ilvl w:val="0"/>
          <w:numId w:val="3"/>
        </w:numPr>
        <w:rPr>
          <w:i/>
        </w:rPr>
      </w:pPr>
      <w:r>
        <w:rPr>
          <w:i/>
          <w:u w:val="single"/>
        </w:rPr>
        <w:t xml:space="preserve">Que faut-il donner comme information pour présenter le témoin et l’entretien ? </w:t>
      </w:r>
    </w:p>
    <w:p w:rsidR="0025449E" w:rsidRDefault="00070636">
      <w:pPr>
        <w:rPr>
          <w:color w:val="FF0000"/>
        </w:rPr>
      </w:pPr>
      <w:r>
        <w:rPr>
          <w:color w:val="FF0000"/>
        </w:rPr>
        <w:t xml:space="preserve">Remplir une petite fiche avec le nom de l’enquêteur, nom du témoin, son âge, sa profession. Date, heure, durée de l’entretien, lien avec la personne interrogée. </w:t>
      </w:r>
    </w:p>
    <w:p w:rsidR="0025449E" w:rsidRDefault="00070636">
      <w:pPr>
        <w:numPr>
          <w:ilvl w:val="0"/>
          <w:numId w:val="3"/>
        </w:numPr>
      </w:pPr>
      <w:r>
        <w:rPr>
          <w:i/>
          <w:u w:val="single"/>
        </w:rPr>
        <w:t>Que faut-il faire avant de faire témoigner la personne ?</w:t>
      </w:r>
      <w:r>
        <w:t xml:space="preserve"> </w:t>
      </w:r>
    </w:p>
    <w:p w:rsidR="0025449E" w:rsidRDefault="00070636">
      <w:pPr>
        <w:rPr>
          <w:color w:val="FF0000"/>
        </w:rPr>
      </w:pPr>
      <w:r>
        <w:rPr>
          <w:color w:val="FF0000"/>
        </w:rPr>
        <w:t xml:space="preserve">Préparer en amont un questionnaire pour savoir quelles questions poser. </w:t>
      </w:r>
    </w:p>
    <w:p w:rsidR="0025449E" w:rsidRDefault="00070636">
      <w:pPr>
        <w:numPr>
          <w:ilvl w:val="0"/>
          <w:numId w:val="3"/>
        </w:numPr>
        <w:rPr>
          <w:i/>
        </w:rPr>
      </w:pPr>
      <w:r>
        <w:rPr>
          <w:i/>
          <w:u w:val="single"/>
        </w:rPr>
        <w:t xml:space="preserve">Que fait-il </w:t>
      </w:r>
      <w:proofErr w:type="gramStart"/>
      <w:r>
        <w:rPr>
          <w:i/>
          <w:u w:val="single"/>
        </w:rPr>
        <w:t>faut</w:t>
      </w:r>
      <w:proofErr w:type="gramEnd"/>
      <w:r>
        <w:rPr>
          <w:i/>
          <w:u w:val="single"/>
        </w:rPr>
        <w:t xml:space="preserve"> faire et ne pas faire pendant un entretien : remplis ce tableau grâce à ce que dit l’historien : </w:t>
      </w:r>
    </w:p>
    <w:tbl>
      <w:tblPr>
        <w:tblStyle w:val="a5"/>
        <w:tblW w:w="10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5103"/>
      </w:tblGrid>
      <w:tr w:rsidR="0025449E">
        <w:tc>
          <w:tcPr>
            <w:tcW w:w="5637" w:type="dxa"/>
          </w:tcPr>
          <w:p w:rsidR="0025449E" w:rsidRDefault="00070636">
            <w:pPr>
              <w:rPr>
                <w:i/>
              </w:rPr>
            </w:pPr>
            <w:r>
              <w:rPr>
                <w:i/>
              </w:rPr>
              <w:t>Ce qu’il faut faire</w:t>
            </w:r>
          </w:p>
        </w:tc>
        <w:tc>
          <w:tcPr>
            <w:tcW w:w="5103" w:type="dxa"/>
          </w:tcPr>
          <w:p w:rsidR="0025449E" w:rsidRDefault="00070636">
            <w:pPr>
              <w:rPr>
                <w:i/>
              </w:rPr>
            </w:pPr>
            <w:r>
              <w:rPr>
                <w:i/>
              </w:rPr>
              <w:t xml:space="preserve">Ce qu’il ne faut pas faire </w:t>
            </w:r>
          </w:p>
        </w:tc>
      </w:tr>
      <w:tr w:rsidR="0025449E">
        <w:tc>
          <w:tcPr>
            <w:tcW w:w="5637" w:type="dxa"/>
          </w:tcPr>
          <w:p w:rsidR="0025449E" w:rsidRDefault="00070636">
            <w:pPr>
              <w:rPr>
                <w:i/>
              </w:rPr>
            </w:pPr>
            <w:r>
              <w:rPr>
                <w:i/>
              </w:rPr>
              <w:t>Ecouter attentivement le témoin</w:t>
            </w:r>
          </w:p>
          <w:p w:rsidR="0025449E" w:rsidRDefault="00070636">
            <w:pPr>
              <w:rPr>
                <w:i/>
              </w:rPr>
            </w:pPr>
            <w:r>
              <w:rPr>
                <w:i/>
              </w:rPr>
              <w:t>Le laisser parler</w:t>
            </w:r>
          </w:p>
          <w:p w:rsidR="0025449E" w:rsidRDefault="00070636">
            <w:pPr>
              <w:rPr>
                <w:i/>
              </w:rPr>
            </w:pPr>
            <w:r>
              <w:rPr>
                <w:i/>
              </w:rPr>
              <w:t>Poser les questions prévues</w:t>
            </w:r>
          </w:p>
          <w:p w:rsidR="0025449E" w:rsidRDefault="00070636">
            <w:pPr>
              <w:rPr>
                <w:i/>
              </w:rPr>
            </w:pPr>
            <w:r>
              <w:rPr>
                <w:i/>
              </w:rPr>
              <w:t>Créer une relation de confiance avec le témoin</w:t>
            </w:r>
          </w:p>
          <w:p w:rsidR="0025449E" w:rsidRDefault="00070636">
            <w:pPr>
              <w:tabs>
                <w:tab w:val="right" w:pos="4390"/>
              </w:tabs>
              <w:rPr>
                <w:i/>
              </w:rPr>
            </w:pPr>
            <w:r>
              <w:rPr>
                <w:i/>
              </w:rPr>
              <w:t>Se laisser surprendre par les réponses</w:t>
            </w:r>
          </w:p>
          <w:p w:rsidR="0025449E" w:rsidRDefault="00070636">
            <w:pPr>
              <w:tabs>
                <w:tab w:val="right" w:pos="4390"/>
              </w:tabs>
              <w:rPr>
                <w:i/>
              </w:rPr>
            </w:pPr>
            <w:r>
              <w:rPr>
                <w:i/>
              </w:rPr>
              <w:t>Inciter les témoins à parler d’eux car c’est cela ce qui nous intéresse</w:t>
            </w:r>
          </w:p>
        </w:tc>
        <w:tc>
          <w:tcPr>
            <w:tcW w:w="5103" w:type="dxa"/>
          </w:tcPr>
          <w:p w:rsidR="0025449E" w:rsidRDefault="00070636">
            <w:pPr>
              <w:rPr>
                <w:i/>
              </w:rPr>
            </w:pPr>
            <w:r>
              <w:rPr>
                <w:i/>
              </w:rPr>
              <w:t>Lui couper la parole</w:t>
            </w:r>
          </w:p>
          <w:p w:rsidR="0025449E" w:rsidRDefault="00070636">
            <w:pPr>
              <w:rPr>
                <w:i/>
              </w:rPr>
            </w:pPr>
            <w:r>
              <w:rPr>
                <w:i/>
              </w:rPr>
              <w:t>Lui dire qu’il se trompe</w:t>
            </w:r>
          </w:p>
          <w:p w:rsidR="0025449E" w:rsidRDefault="00070636">
            <w:pPr>
              <w:rPr>
                <w:i/>
              </w:rPr>
            </w:pPr>
            <w:r>
              <w:rPr>
                <w:i/>
              </w:rPr>
              <w:t>Laisser le témoin répondre, même si ce n’est pas exactement la question, s’il déborde le sujet</w:t>
            </w:r>
          </w:p>
        </w:tc>
      </w:tr>
    </w:tbl>
    <w:p w:rsidR="0025449E" w:rsidRDefault="0025449E"/>
    <w:sectPr w:rsidR="0025449E" w:rsidSect="0025449E">
      <w:headerReference w:type="default" r:id="rId8"/>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31" w:rsidRDefault="00096831" w:rsidP="0025449E">
      <w:pPr>
        <w:spacing w:after="0" w:line="240" w:lineRule="auto"/>
      </w:pPr>
      <w:r>
        <w:separator/>
      </w:r>
    </w:p>
  </w:endnote>
  <w:endnote w:type="continuationSeparator" w:id="0">
    <w:p w:rsidR="00096831" w:rsidRDefault="00096831" w:rsidP="0025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49E" w:rsidRDefault="00070636">
    <w:pPr>
      <w:jc w:val="center"/>
      <w:rPr>
        <w:sz w:val="20"/>
        <w:szCs w:val="20"/>
      </w:rPr>
    </w:pPr>
    <w:r>
      <w:rPr>
        <w:sz w:val="20"/>
        <w:szCs w:val="20"/>
      </w:rPr>
      <w:t>Sophie Gillet et Lola Jarry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31" w:rsidRDefault="00096831" w:rsidP="0025449E">
      <w:pPr>
        <w:spacing w:after="0" w:line="240" w:lineRule="auto"/>
      </w:pPr>
      <w:r>
        <w:separator/>
      </w:r>
    </w:p>
  </w:footnote>
  <w:footnote w:type="continuationSeparator" w:id="0">
    <w:p w:rsidR="00096831" w:rsidRDefault="00096831" w:rsidP="00254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49E" w:rsidRDefault="00070636">
    <w:pPr>
      <w:pBdr>
        <w:top w:val="nil"/>
        <w:left w:val="nil"/>
        <w:bottom w:val="nil"/>
        <w:right w:val="nil"/>
        <w:between w:val="nil"/>
      </w:pBdr>
      <w:tabs>
        <w:tab w:val="center" w:pos="4536"/>
        <w:tab w:val="right" w:pos="9072"/>
      </w:tabs>
      <w:spacing w:after="0" w:line="240" w:lineRule="auto"/>
      <w:jc w:val="center"/>
      <w:rPr>
        <w:rFonts w:cs="Calibri"/>
        <w:color w:val="000000"/>
      </w:rPr>
    </w:pPr>
    <w:r>
      <w:rPr>
        <w:rFonts w:cs="Calibri"/>
        <w:color w:val="000000"/>
      </w:rPr>
      <w:t>Projet – Enseigner la rupture en temps de crise au collège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74C68"/>
    <w:multiLevelType w:val="multilevel"/>
    <w:tmpl w:val="F55ED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024721"/>
    <w:multiLevelType w:val="multilevel"/>
    <w:tmpl w:val="DBF86E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894D15"/>
    <w:multiLevelType w:val="multilevel"/>
    <w:tmpl w:val="B12217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1941968"/>
    <w:multiLevelType w:val="multilevel"/>
    <w:tmpl w:val="CA165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9E"/>
    <w:rsid w:val="00070636"/>
    <w:rsid w:val="00096831"/>
    <w:rsid w:val="00131B42"/>
    <w:rsid w:val="001469B4"/>
    <w:rsid w:val="0025449E"/>
    <w:rsid w:val="00505A79"/>
    <w:rsid w:val="00715973"/>
    <w:rsid w:val="00864F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0E32"/>
  <w15:docId w15:val="{B1CBF252-21AB-45DE-A468-C4FA2826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CBF"/>
    <w:rPr>
      <w:rFonts w:cs="Times New Roman"/>
    </w:rPr>
  </w:style>
  <w:style w:type="paragraph" w:styleId="Titre1">
    <w:name w:val="heading 1"/>
    <w:basedOn w:val="Normal1"/>
    <w:next w:val="Normal1"/>
    <w:rsid w:val="0025449E"/>
    <w:pPr>
      <w:keepNext/>
      <w:keepLines/>
      <w:spacing w:before="480" w:after="120"/>
      <w:outlineLvl w:val="0"/>
    </w:pPr>
    <w:rPr>
      <w:b/>
      <w:sz w:val="48"/>
      <w:szCs w:val="48"/>
    </w:rPr>
  </w:style>
  <w:style w:type="paragraph" w:styleId="Titre2">
    <w:name w:val="heading 2"/>
    <w:basedOn w:val="Normal1"/>
    <w:next w:val="Normal1"/>
    <w:rsid w:val="0025449E"/>
    <w:pPr>
      <w:keepNext/>
      <w:keepLines/>
      <w:spacing w:before="360" w:after="80"/>
      <w:outlineLvl w:val="1"/>
    </w:pPr>
    <w:rPr>
      <w:b/>
      <w:sz w:val="36"/>
      <w:szCs w:val="36"/>
    </w:rPr>
  </w:style>
  <w:style w:type="paragraph" w:styleId="Titre3">
    <w:name w:val="heading 3"/>
    <w:basedOn w:val="Normal1"/>
    <w:next w:val="Normal1"/>
    <w:rsid w:val="0025449E"/>
    <w:pPr>
      <w:keepNext/>
      <w:keepLines/>
      <w:spacing w:before="280" w:after="80"/>
      <w:outlineLvl w:val="2"/>
    </w:pPr>
    <w:rPr>
      <w:b/>
      <w:sz w:val="28"/>
      <w:szCs w:val="28"/>
    </w:rPr>
  </w:style>
  <w:style w:type="paragraph" w:styleId="Titre4">
    <w:name w:val="heading 4"/>
    <w:basedOn w:val="Normal1"/>
    <w:next w:val="Normal1"/>
    <w:rsid w:val="0025449E"/>
    <w:pPr>
      <w:keepNext/>
      <w:keepLines/>
      <w:spacing w:before="240" w:after="40"/>
      <w:outlineLvl w:val="3"/>
    </w:pPr>
    <w:rPr>
      <w:b/>
      <w:sz w:val="24"/>
      <w:szCs w:val="24"/>
    </w:rPr>
  </w:style>
  <w:style w:type="paragraph" w:styleId="Titre5">
    <w:name w:val="heading 5"/>
    <w:basedOn w:val="Normal1"/>
    <w:next w:val="Normal1"/>
    <w:rsid w:val="0025449E"/>
    <w:pPr>
      <w:keepNext/>
      <w:keepLines/>
      <w:spacing w:before="220" w:after="40"/>
      <w:outlineLvl w:val="4"/>
    </w:pPr>
    <w:rPr>
      <w:b/>
    </w:rPr>
  </w:style>
  <w:style w:type="paragraph" w:styleId="Titre6">
    <w:name w:val="heading 6"/>
    <w:basedOn w:val="Normal1"/>
    <w:next w:val="Normal1"/>
    <w:rsid w:val="0025449E"/>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5449E"/>
  </w:style>
  <w:style w:type="table" w:customStyle="1" w:styleId="TableNormal">
    <w:name w:val="Table Normal"/>
    <w:rsid w:val="0025449E"/>
    <w:tblPr>
      <w:tblCellMar>
        <w:top w:w="0" w:type="dxa"/>
        <w:left w:w="0" w:type="dxa"/>
        <w:bottom w:w="0" w:type="dxa"/>
        <w:right w:w="0" w:type="dxa"/>
      </w:tblCellMar>
    </w:tblPr>
  </w:style>
  <w:style w:type="paragraph" w:styleId="Titre">
    <w:name w:val="Title"/>
    <w:basedOn w:val="Normal1"/>
    <w:next w:val="Normal1"/>
    <w:rsid w:val="0025449E"/>
    <w:pPr>
      <w:keepNext/>
      <w:keepLines/>
      <w:spacing w:before="480" w:after="120"/>
    </w:pPr>
    <w:rPr>
      <w:b/>
      <w:sz w:val="72"/>
      <w:szCs w:val="72"/>
    </w:rPr>
  </w:style>
  <w:style w:type="table" w:styleId="Grilledutableau">
    <w:name w:val="Table Grid"/>
    <w:basedOn w:val="TableauNormal"/>
    <w:uiPriority w:val="59"/>
    <w:rsid w:val="008848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425ED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25ED6"/>
    <w:rPr>
      <w:rFonts w:ascii="Calibri" w:eastAsia="Calibri" w:hAnsi="Calibri" w:cs="Times New Roman"/>
    </w:rPr>
  </w:style>
  <w:style w:type="paragraph" w:styleId="Pieddepage">
    <w:name w:val="footer"/>
    <w:basedOn w:val="Normal"/>
    <w:link w:val="PieddepageCar"/>
    <w:uiPriority w:val="99"/>
    <w:semiHidden/>
    <w:unhideWhenUsed/>
    <w:rsid w:val="00425ED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25ED6"/>
    <w:rPr>
      <w:rFonts w:ascii="Calibri" w:eastAsia="Calibri" w:hAnsi="Calibri" w:cs="Times New Roman"/>
    </w:rPr>
  </w:style>
  <w:style w:type="paragraph" w:styleId="Sous-titre">
    <w:name w:val="Subtitle"/>
    <w:basedOn w:val="Normal"/>
    <w:next w:val="Normal"/>
    <w:rsid w:val="0025449E"/>
    <w:pPr>
      <w:keepNext/>
      <w:keepLines/>
      <w:spacing w:before="360" w:after="80"/>
    </w:pPr>
    <w:rPr>
      <w:rFonts w:ascii="Georgia" w:eastAsia="Georgia" w:hAnsi="Georgia" w:cs="Georgia"/>
      <w:i/>
      <w:color w:val="666666"/>
      <w:sz w:val="48"/>
      <w:szCs w:val="48"/>
    </w:rPr>
  </w:style>
  <w:style w:type="table" w:customStyle="1" w:styleId="a">
    <w:basedOn w:val="TableNormal"/>
    <w:rsid w:val="0025449E"/>
    <w:tblPr>
      <w:tblStyleRowBandSize w:val="1"/>
      <w:tblStyleColBandSize w:val="1"/>
      <w:tblCellMar>
        <w:top w:w="100" w:type="dxa"/>
        <w:left w:w="100" w:type="dxa"/>
        <w:bottom w:w="100" w:type="dxa"/>
        <w:right w:w="100" w:type="dxa"/>
      </w:tblCellMar>
    </w:tblPr>
  </w:style>
  <w:style w:type="table" w:customStyle="1" w:styleId="a0">
    <w:basedOn w:val="TableNormal"/>
    <w:rsid w:val="0025449E"/>
    <w:tblPr>
      <w:tblStyleRowBandSize w:val="1"/>
      <w:tblStyleColBandSize w:val="1"/>
      <w:tblCellMar>
        <w:top w:w="100" w:type="dxa"/>
        <w:left w:w="100" w:type="dxa"/>
        <w:bottom w:w="100" w:type="dxa"/>
        <w:right w:w="100" w:type="dxa"/>
      </w:tblCellMar>
    </w:tblPr>
  </w:style>
  <w:style w:type="table" w:customStyle="1" w:styleId="a1">
    <w:basedOn w:val="TableNormal"/>
    <w:rsid w:val="0025449E"/>
    <w:tblPr>
      <w:tblStyleRowBandSize w:val="1"/>
      <w:tblStyleColBandSize w:val="1"/>
      <w:tblCellMar>
        <w:top w:w="100" w:type="dxa"/>
        <w:left w:w="100" w:type="dxa"/>
        <w:bottom w:w="100" w:type="dxa"/>
        <w:right w:w="100" w:type="dxa"/>
      </w:tblCellMar>
    </w:tblPr>
  </w:style>
  <w:style w:type="table" w:customStyle="1" w:styleId="a2">
    <w:basedOn w:val="TableNormal"/>
    <w:rsid w:val="0025449E"/>
    <w:tblPr>
      <w:tblStyleRowBandSize w:val="1"/>
      <w:tblStyleColBandSize w:val="1"/>
      <w:tblCellMar>
        <w:top w:w="100" w:type="dxa"/>
        <w:left w:w="100" w:type="dxa"/>
        <w:bottom w:w="100" w:type="dxa"/>
        <w:right w:w="100" w:type="dxa"/>
      </w:tblCellMar>
    </w:tblPr>
  </w:style>
  <w:style w:type="table" w:customStyle="1" w:styleId="a3">
    <w:basedOn w:val="TableNormal"/>
    <w:rsid w:val="0025449E"/>
    <w:tblPr>
      <w:tblStyleRowBandSize w:val="1"/>
      <w:tblStyleColBandSize w:val="1"/>
      <w:tblCellMar>
        <w:top w:w="100" w:type="dxa"/>
        <w:left w:w="100" w:type="dxa"/>
        <w:bottom w:w="100" w:type="dxa"/>
        <w:right w:w="100" w:type="dxa"/>
      </w:tblCellMar>
    </w:tblPr>
  </w:style>
  <w:style w:type="table" w:customStyle="1" w:styleId="a4">
    <w:basedOn w:val="TableNormal"/>
    <w:rsid w:val="0025449E"/>
    <w:tblPr>
      <w:tblStyleRowBandSize w:val="1"/>
      <w:tblStyleColBandSize w:val="1"/>
      <w:tblCellMar>
        <w:top w:w="100" w:type="dxa"/>
        <w:left w:w="100" w:type="dxa"/>
        <w:bottom w:w="100" w:type="dxa"/>
        <w:right w:w="100" w:type="dxa"/>
      </w:tblCellMar>
    </w:tblPr>
  </w:style>
  <w:style w:type="table" w:customStyle="1" w:styleId="a5">
    <w:basedOn w:val="TableNormal"/>
    <w:rsid w:val="0025449E"/>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nG4JTxLh9kTKSeAl2TsG3//Ow==">AMUW2mVBasiyOO7qz9/c88p6piMxX0mMDAP1tGDhlLboS3sOK+Yznixt+UYMqVR3+3PIMyEzNfbNBZtWs8CcKaepUQZ8FoLQov4ShQFL4gv206b1l+JXfUk=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6673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inspecteur</cp:lastModifiedBy>
  <cp:revision>2</cp:revision>
  <dcterms:created xsi:type="dcterms:W3CDTF">2020-04-27T10:19:00Z</dcterms:created>
  <dcterms:modified xsi:type="dcterms:W3CDTF">2020-04-27T10:19:00Z</dcterms:modified>
</cp:coreProperties>
</file>